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2055E" w:rsidP="00D07E62" w:rsidRDefault="00D07E62" w14:paraId="5143A451" w14:textId="2642CB73">
      <w:pPr>
        <w:jc w:val="center"/>
        <w:rPr>
          <w:rFonts w:ascii="Arial" w:hAnsi="Arial" w:cs="Arial"/>
          <w:lang w:val="es-ES"/>
        </w:rPr>
      </w:pPr>
      <w:r>
        <w:rPr>
          <w:rFonts w:ascii="Arial" w:hAnsi="Arial" w:cs="Arial"/>
          <w:lang w:val="es-ES"/>
        </w:rPr>
        <w:tab/>
      </w:r>
      <w:r>
        <w:rPr>
          <w:rFonts w:ascii="Arial" w:hAnsi="Arial" w:cs="Arial"/>
          <w:lang w:val="es-ES"/>
        </w:rPr>
        <w:t>SUPERINTENDENCIA DE SUBSIDIO FAMILIAR</w:t>
      </w:r>
    </w:p>
    <w:p w:rsidR="00D07E62" w:rsidP="00D07E62" w:rsidRDefault="00D07E62" w14:paraId="03470B78" w14:textId="1886F058">
      <w:pPr>
        <w:jc w:val="center"/>
        <w:rPr>
          <w:rFonts w:ascii="Arial" w:hAnsi="Arial" w:cs="Arial"/>
          <w:lang w:val="es-ES"/>
        </w:rPr>
      </w:pPr>
      <w:r>
        <w:rPr>
          <w:rFonts w:ascii="Arial" w:hAnsi="Arial" w:cs="Arial"/>
          <w:lang w:val="es-ES"/>
        </w:rPr>
        <w:t>Superintendencia Delegada de Estudios Especiales y Evaluación de Proyectos</w:t>
      </w:r>
    </w:p>
    <w:p w:rsidR="00D07E62" w:rsidP="00D07E62" w:rsidRDefault="00D07E62" w14:paraId="3B5159FC" w14:textId="77777777">
      <w:pPr>
        <w:jc w:val="center"/>
        <w:rPr>
          <w:rFonts w:ascii="Arial" w:hAnsi="Arial" w:cs="Arial"/>
          <w:lang w:val="es-ES"/>
        </w:rPr>
      </w:pPr>
    </w:p>
    <w:p w:rsidR="00D07E62" w:rsidP="00D07E62" w:rsidRDefault="00D07E62" w14:paraId="07A2DA2D" w14:textId="77777777">
      <w:pPr>
        <w:jc w:val="center"/>
        <w:rPr>
          <w:rFonts w:ascii="Arial" w:hAnsi="Arial" w:cs="Arial"/>
          <w:lang w:val="es-ES"/>
        </w:rPr>
      </w:pPr>
    </w:p>
    <w:p w:rsidR="00D07E62" w:rsidP="00D07E62" w:rsidRDefault="00D07E62" w14:paraId="3444A227" w14:textId="77777777">
      <w:pPr>
        <w:jc w:val="center"/>
        <w:rPr>
          <w:rFonts w:ascii="Arial" w:hAnsi="Arial" w:cs="Arial"/>
          <w:lang w:val="es-ES"/>
        </w:rPr>
      </w:pPr>
    </w:p>
    <w:p w:rsidR="00D07E62" w:rsidP="00D07E62" w:rsidRDefault="00D07E62" w14:paraId="66377571" w14:textId="77777777">
      <w:pPr>
        <w:jc w:val="center"/>
        <w:rPr>
          <w:rFonts w:ascii="Arial" w:hAnsi="Arial" w:cs="Arial"/>
          <w:lang w:val="es-ES"/>
        </w:rPr>
      </w:pPr>
    </w:p>
    <w:p w:rsidR="00D07E62" w:rsidP="00D07E62" w:rsidRDefault="00D07E62" w14:paraId="63F4C3F0" w14:textId="77777777">
      <w:pPr>
        <w:jc w:val="center"/>
        <w:rPr>
          <w:rFonts w:ascii="Arial" w:hAnsi="Arial" w:cs="Arial"/>
          <w:lang w:val="es-ES"/>
        </w:rPr>
      </w:pPr>
    </w:p>
    <w:p w:rsidR="00D07E62" w:rsidP="00D07E62" w:rsidRDefault="00D07E62" w14:paraId="48FACED5" w14:textId="77777777">
      <w:pPr>
        <w:jc w:val="center"/>
        <w:rPr>
          <w:rFonts w:ascii="Arial" w:hAnsi="Arial" w:cs="Arial"/>
          <w:lang w:val="es-ES"/>
        </w:rPr>
      </w:pPr>
    </w:p>
    <w:p w:rsidR="00D07E62" w:rsidP="00D07E62" w:rsidRDefault="00D07E62" w14:paraId="485F079A" w14:textId="3E9CE98E">
      <w:pPr>
        <w:jc w:val="center"/>
        <w:rPr>
          <w:rFonts w:ascii="Arial" w:hAnsi="Arial" w:cs="Arial"/>
          <w:lang w:val="es-ES"/>
        </w:rPr>
      </w:pPr>
      <w:r>
        <w:rPr>
          <w:rFonts w:ascii="Arial" w:hAnsi="Arial" w:cs="Arial"/>
          <w:lang w:val="es-ES"/>
        </w:rPr>
        <w:t>ANÁLISIS DE COBERTURA TERRITORIAL DE LOS SUBSIDIOS DE VIVIENDA (FOVIS) EN EL DEPARTAMENTO DEL TOLIMA: UN ESTUDIO DESCRIPTIVO DE LA ASIGNACIÓN FRENTE A LA DEMANDA POTENCIAL (2022-2023)</w:t>
      </w:r>
    </w:p>
    <w:p w:rsidR="00D07E62" w:rsidP="00D07E62" w:rsidRDefault="00D07E62" w14:paraId="4086C20E" w14:textId="77777777">
      <w:pPr>
        <w:jc w:val="center"/>
        <w:rPr>
          <w:rFonts w:ascii="Arial" w:hAnsi="Arial" w:cs="Arial"/>
          <w:lang w:val="es-ES"/>
        </w:rPr>
      </w:pPr>
    </w:p>
    <w:p w:rsidR="00D07E62" w:rsidP="00D07E62" w:rsidRDefault="00D07E62" w14:paraId="0CB7F017" w14:textId="77777777">
      <w:pPr>
        <w:jc w:val="center"/>
        <w:rPr>
          <w:rFonts w:ascii="Arial" w:hAnsi="Arial" w:cs="Arial"/>
          <w:lang w:val="es-ES"/>
        </w:rPr>
      </w:pPr>
    </w:p>
    <w:p w:rsidR="00D07E62" w:rsidP="00D07E62" w:rsidRDefault="00D07E62" w14:paraId="318A96DE" w14:textId="77777777">
      <w:pPr>
        <w:jc w:val="center"/>
        <w:rPr>
          <w:rFonts w:ascii="Arial" w:hAnsi="Arial" w:cs="Arial"/>
          <w:lang w:val="es-ES"/>
        </w:rPr>
      </w:pPr>
    </w:p>
    <w:p w:rsidR="00D07E62" w:rsidP="00D07E62" w:rsidRDefault="00D07E62" w14:paraId="1879FC81" w14:textId="77777777">
      <w:pPr>
        <w:jc w:val="center"/>
        <w:rPr>
          <w:rFonts w:ascii="Arial" w:hAnsi="Arial" w:cs="Arial"/>
          <w:lang w:val="es-ES"/>
        </w:rPr>
      </w:pPr>
    </w:p>
    <w:p w:rsidR="00D07E62" w:rsidP="00D07E62" w:rsidRDefault="00D07E62" w14:paraId="70A93E32" w14:textId="77777777">
      <w:pPr>
        <w:jc w:val="center"/>
        <w:rPr>
          <w:rFonts w:ascii="Arial" w:hAnsi="Arial" w:cs="Arial"/>
          <w:lang w:val="es-ES"/>
        </w:rPr>
      </w:pPr>
    </w:p>
    <w:p w:rsidR="00D07E62" w:rsidP="00D07E62" w:rsidRDefault="00D07E62" w14:paraId="24DD0800" w14:textId="679CB5AC">
      <w:pPr>
        <w:jc w:val="center"/>
        <w:rPr>
          <w:rFonts w:ascii="Arial" w:hAnsi="Arial" w:cs="Arial"/>
          <w:lang w:val="es-ES"/>
        </w:rPr>
      </w:pPr>
      <w:r>
        <w:rPr>
          <w:rFonts w:ascii="Arial" w:hAnsi="Arial" w:cs="Arial"/>
          <w:lang w:val="es-ES"/>
        </w:rPr>
        <w:t>JUAN SEBASTIAN RINCON OSORIO</w:t>
      </w:r>
    </w:p>
    <w:p w:rsidR="00D07E62" w:rsidP="00D07E62" w:rsidRDefault="00D07E62" w14:paraId="5DC878F7" w14:textId="77777777">
      <w:pPr>
        <w:jc w:val="center"/>
        <w:rPr>
          <w:rFonts w:ascii="Arial" w:hAnsi="Arial" w:cs="Arial"/>
          <w:lang w:val="es-ES"/>
        </w:rPr>
      </w:pPr>
    </w:p>
    <w:p w:rsidR="00D07E62" w:rsidP="00D07E62" w:rsidRDefault="00D07E62" w14:paraId="7DFE0C62" w14:textId="77777777">
      <w:pPr>
        <w:jc w:val="center"/>
        <w:rPr>
          <w:rFonts w:ascii="Arial" w:hAnsi="Arial" w:cs="Arial"/>
          <w:lang w:val="es-ES"/>
        </w:rPr>
      </w:pPr>
    </w:p>
    <w:p w:rsidR="00D07E62" w:rsidP="00D07E62" w:rsidRDefault="00D07E62" w14:paraId="7D48C972" w14:textId="77777777">
      <w:pPr>
        <w:jc w:val="center"/>
        <w:rPr>
          <w:rFonts w:ascii="Arial" w:hAnsi="Arial" w:cs="Arial"/>
          <w:lang w:val="es-ES"/>
        </w:rPr>
      </w:pPr>
    </w:p>
    <w:p w:rsidR="00D07E62" w:rsidP="00D07E62" w:rsidRDefault="00D07E62" w14:paraId="1C05C7AC" w14:textId="77777777">
      <w:pPr>
        <w:jc w:val="center"/>
        <w:rPr>
          <w:rFonts w:ascii="Arial" w:hAnsi="Arial" w:cs="Arial"/>
          <w:lang w:val="es-ES"/>
        </w:rPr>
      </w:pPr>
    </w:p>
    <w:p w:rsidR="00D07E62" w:rsidP="00D07E62" w:rsidRDefault="00D07E62" w14:paraId="6DCC298F" w14:textId="77777777">
      <w:pPr>
        <w:jc w:val="center"/>
        <w:rPr>
          <w:rFonts w:ascii="Arial" w:hAnsi="Arial" w:cs="Arial"/>
          <w:lang w:val="es-ES"/>
        </w:rPr>
      </w:pPr>
    </w:p>
    <w:p w:rsidR="00D07E62" w:rsidP="00D07E62" w:rsidRDefault="00D07E62" w14:paraId="106218D0" w14:textId="77777777">
      <w:pPr>
        <w:jc w:val="center"/>
        <w:rPr>
          <w:rFonts w:ascii="Arial" w:hAnsi="Arial" w:cs="Arial"/>
          <w:lang w:val="es-ES"/>
        </w:rPr>
      </w:pPr>
    </w:p>
    <w:p w:rsidR="00D07E62" w:rsidP="00D07E62" w:rsidRDefault="00D07E62" w14:paraId="318F815F" w14:textId="11CDD183">
      <w:pPr>
        <w:jc w:val="center"/>
        <w:rPr>
          <w:rFonts w:ascii="Arial" w:hAnsi="Arial" w:cs="Arial"/>
          <w:lang w:val="es-ES"/>
        </w:rPr>
      </w:pPr>
      <w:r>
        <w:rPr>
          <w:rFonts w:ascii="Arial" w:hAnsi="Arial" w:cs="Arial"/>
          <w:lang w:val="es-ES"/>
        </w:rPr>
        <w:t>EDDIER ANTONIO BURITICA CARDONA</w:t>
      </w:r>
    </w:p>
    <w:p w:rsidR="00D07E62" w:rsidP="00D07E62" w:rsidRDefault="00D07E62" w14:paraId="1EBCDE93" w14:textId="77777777">
      <w:pPr>
        <w:jc w:val="center"/>
        <w:rPr>
          <w:rFonts w:ascii="Arial" w:hAnsi="Arial" w:cs="Arial"/>
          <w:lang w:val="es-ES"/>
        </w:rPr>
      </w:pPr>
    </w:p>
    <w:p w:rsidR="00D07E62" w:rsidP="00D07E62" w:rsidRDefault="00D07E62" w14:paraId="3B7DA333" w14:textId="77777777">
      <w:pPr>
        <w:jc w:val="center"/>
        <w:rPr>
          <w:rFonts w:ascii="Arial" w:hAnsi="Arial" w:cs="Arial"/>
          <w:lang w:val="es-ES"/>
        </w:rPr>
      </w:pPr>
    </w:p>
    <w:p w:rsidR="00D07E62" w:rsidP="00D07E62" w:rsidRDefault="00D07E62" w14:paraId="12D5E094" w14:textId="77777777">
      <w:pPr>
        <w:jc w:val="center"/>
        <w:rPr>
          <w:rFonts w:ascii="Arial" w:hAnsi="Arial" w:cs="Arial"/>
          <w:lang w:val="es-ES"/>
        </w:rPr>
      </w:pPr>
    </w:p>
    <w:p w:rsidR="00D07E62" w:rsidP="00D07E62" w:rsidRDefault="00D07E62" w14:paraId="5B5E5290" w14:textId="77777777">
      <w:pPr>
        <w:jc w:val="center"/>
        <w:rPr>
          <w:rFonts w:ascii="Arial" w:hAnsi="Arial" w:cs="Arial"/>
          <w:lang w:val="es-ES"/>
        </w:rPr>
      </w:pPr>
    </w:p>
    <w:p w:rsidR="00D07E62" w:rsidP="00D07E62" w:rsidRDefault="00D07E62" w14:paraId="2F7A2C0C" w14:textId="77777777">
      <w:pPr>
        <w:jc w:val="center"/>
        <w:rPr>
          <w:rFonts w:ascii="Arial" w:hAnsi="Arial" w:cs="Arial"/>
          <w:lang w:val="es-ES"/>
        </w:rPr>
      </w:pPr>
    </w:p>
    <w:p w:rsidR="00D07E62" w:rsidP="00D07E62" w:rsidRDefault="00D07E62" w14:paraId="55E58363" w14:textId="77777777">
      <w:pPr>
        <w:jc w:val="center"/>
        <w:rPr>
          <w:rFonts w:ascii="Arial" w:hAnsi="Arial" w:cs="Arial"/>
          <w:lang w:val="es-ES"/>
        </w:rPr>
      </w:pPr>
    </w:p>
    <w:p w:rsidR="00D07E62" w:rsidP="00D07E62" w:rsidRDefault="00D07E62" w14:paraId="3275039C" w14:textId="10018B1F">
      <w:pPr>
        <w:jc w:val="center"/>
        <w:rPr>
          <w:rFonts w:ascii="Arial" w:hAnsi="Arial" w:cs="Arial"/>
          <w:lang w:val="es-ES"/>
        </w:rPr>
      </w:pPr>
      <w:r>
        <w:rPr>
          <w:rFonts w:ascii="Arial" w:hAnsi="Arial" w:cs="Arial"/>
          <w:lang w:val="es-ES"/>
        </w:rPr>
        <w:t>ABRIL 2026</w:t>
      </w:r>
    </w:p>
    <w:p w:rsidR="00D07E62" w:rsidP="00D07E62" w:rsidRDefault="00D07E62" w14:paraId="013E451A" w14:textId="42048DB8">
      <w:pPr>
        <w:jc w:val="center"/>
        <w:rPr>
          <w:rFonts w:ascii="Arial" w:hAnsi="Arial" w:cs="Arial"/>
          <w:lang w:val="es-ES"/>
        </w:rPr>
      </w:pPr>
      <w:r>
        <w:rPr>
          <w:rFonts w:ascii="Arial" w:hAnsi="Arial" w:cs="Arial"/>
          <w:lang w:val="es-ES"/>
        </w:rPr>
        <w:t>INDICE DE CONTENIDO</w:t>
      </w:r>
    </w:p>
    <w:p w:rsidR="00D07E62" w:rsidP="00D07E62" w:rsidRDefault="00D07E62" w14:paraId="5E5BD2CE" w14:textId="77777777">
      <w:pPr>
        <w:rPr>
          <w:rFonts w:ascii="Arial" w:hAnsi="Arial" w:cs="Arial"/>
          <w:lang w:val="es-ES"/>
        </w:rPr>
      </w:pPr>
    </w:p>
    <w:sdt>
      <w:sdtPr>
        <w:rPr>
          <w:lang w:val="es-ES"/>
        </w:rPr>
        <w:id w:val="-1657833005"/>
        <w:docPartObj>
          <w:docPartGallery w:val="Table of Contents"/>
          <w:docPartUnique/>
        </w:docPartObj>
      </w:sdtPr>
      <w:sdtEndPr>
        <w:rPr>
          <w:rFonts w:ascii="Calibri" w:hAnsi="Calibri" w:eastAsia="Calibri" w:cs="" w:asciiTheme="minorAscii" w:hAnsiTheme="minorAscii" w:eastAsiaTheme="minorAscii" w:cstheme="minorBidi"/>
          <w:b w:val="1"/>
          <w:bCs w:val="1"/>
          <w:color w:val="auto"/>
          <w:kern w:val="2"/>
          <w:sz w:val="22"/>
          <w:szCs w:val="22"/>
          <w:lang w:val="es-ES" w:eastAsia="en-US"/>
          <w14:ligatures w14:val="standardContextual"/>
        </w:rPr>
      </w:sdtEndPr>
      <w:sdtContent>
        <w:p w:rsidRPr="006E7775" w:rsidR="006E7775" w:rsidRDefault="006E7775" w14:paraId="43F94B33" w14:textId="3CD7AE35">
          <w:pPr>
            <w:pStyle w:val="TtuloTDC"/>
            <w:rPr>
              <w:rFonts w:ascii="Arial" w:hAnsi="Arial" w:cs="Arial"/>
              <w:color w:val="auto"/>
              <w:sz w:val="22"/>
              <w:szCs w:val="22"/>
            </w:rPr>
          </w:pPr>
          <w:r w:rsidRPr="006E7775">
            <w:rPr>
              <w:rFonts w:ascii="Arial" w:hAnsi="Arial" w:cs="Arial"/>
              <w:color w:val="auto"/>
              <w:sz w:val="22"/>
              <w:szCs w:val="22"/>
              <w:lang w:val="es-ES"/>
            </w:rPr>
            <w:t>Contenido</w:t>
          </w:r>
        </w:p>
        <w:p w:rsidRPr="006E7775" w:rsidR="006E7775" w:rsidRDefault="006E7775" w14:paraId="36A86894" w14:textId="2C03AAEE">
          <w:pPr>
            <w:pStyle w:val="TDC1"/>
            <w:tabs>
              <w:tab w:val="right" w:leader="dot" w:pos="8828"/>
            </w:tabs>
            <w:rPr>
              <w:rFonts w:ascii="Arial" w:hAnsi="Arial" w:cs="Arial"/>
              <w:noProof/>
            </w:rPr>
          </w:pPr>
          <w:r w:rsidRPr="006E7775">
            <w:rPr>
              <w:rFonts w:ascii="Arial" w:hAnsi="Arial" w:cs="Arial"/>
            </w:rPr>
            <w:fldChar w:fldCharType="begin"/>
          </w:r>
          <w:r w:rsidRPr="006E7775">
            <w:rPr>
              <w:rFonts w:ascii="Arial" w:hAnsi="Arial" w:cs="Arial"/>
            </w:rPr>
            <w:instrText xml:space="preserve"> TOC \o "1-3" \h \z \u </w:instrText>
          </w:r>
          <w:r w:rsidRPr="006E7775">
            <w:rPr>
              <w:rFonts w:ascii="Arial" w:hAnsi="Arial" w:cs="Arial"/>
            </w:rPr>
            <w:fldChar w:fldCharType="separate"/>
          </w:r>
          <w:hyperlink w:history="1" w:anchor="_Toc227767703">
            <w:r w:rsidRPr="006E7775">
              <w:rPr>
                <w:rStyle w:val="Hipervnculo"/>
                <w:rFonts w:ascii="Arial" w:hAnsi="Arial" w:cs="Arial"/>
                <w:b/>
                <w:bCs/>
                <w:noProof/>
                <w:lang w:val="es-ES"/>
              </w:rPr>
              <w:t>INTRODUCCIÓN</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_Toc227767703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3</w:t>
            </w:r>
            <w:r w:rsidRPr="006E7775">
              <w:rPr>
                <w:rFonts w:ascii="Arial" w:hAnsi="Arial" w:cs="Arial"/>
                <w:noProof/>
                <w:webHidden/>
              </w:rPr>
              <w:fldChar w:fldCharType="end"/>
            </w:r>
          </w:hyperlink>
        </w:p>
        <w:p w:rsidRPr="006E7775" w:rsidR="006E7775" w:rsidRDefault="006E7775" w14:paraId="75C0C4F6" w14:textId="44ECF519">
          <w:pPr>
            <w:pStyle w:val="TDC1"/>
            <w:tabs>
              <w:tab w:val="right" w:leader="dot" w:pos="8828"/>
            </w:tabs>
            <w:rPr>
              <w:rFonts w:ascii="Arial" w:hAnsi="Arial" w:cs="Arial"/>
              <w:noProof/>
            </w:rPr>
          </w:pPr>
          <w:hyperlink w:history="1" w:anchor="_Toc227767704">
            <w:r w:rsidRPr="006E7775">
              <w:rPr>
                <w:rStyle w:val="Hipervnculo"/>
                <w:rFonts w:ascii="Arial" w:hAnsi="Arial" w:cs="Arial"/>
                <w:b/>
                <w:bCs/>
                <w:noProof/>
              </w:rPr>
              <w:t>Capítulo I: Planteamiento de la Investigación</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_Toc227767704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4</w:t>
            </w:r>
            <w:r w:rsidRPr="006E7775">
              <w:rPr>
                <w:rFonts w:ascii="Arial" w:hAnsi="Arial" w:cs="Arial"/>
                <w:noProof/>
                <w:webHidden/>
              </w:rPr>
              <w:fldChar w:fldCharType="end"/>
            </w:r>
          </w:hyperlink>
        </w:p>
        <w:p w:rsidRPr="006E7775" w:rsidR="006E7775" w:rsidRDefault="006E7775" w14:paraId="7F511157" w14:textId="412D7EFA">
          <w:pPr>
            <w:pStyle w:val="TDC2"/>
            <w:tabs>
              <w:tab w:val="right" w:leader="dot" w:pos="8828"/>
            </w:tabs>
            <w:rPr>
              <w:rFonts w:ascii="Arial" w:hAnsi="Arial" w:cs="Arial"/>
              <w:noProof/>
            </w:rPr>
          </w:pPr>
          <w:hyperlink w:history="1" w:anchor="_Toc227767705">
            <w:r w:rsidRPr="006E7775">
              <w:rPr>
                <w:rStyle w:val="Hipervnculo"/>
                <w:rFonts w:ascii="Arial" w:hAnsi="Arial" w:cs="Arial"/>
                <w:noProof/>
              </w:rPr>
              <w:t xml:space="preserve">1.1 </w:t>
            </w:r>
            <w:r w:rsidRPr="006E7775">
              <w:rPr>
                <w:rStyle w:val="Hipervnculo"/>
                <w:rFonts w:ascii="Arial" w:hAnsi="Arial" w:cs="Arial"/>
                <w:b/>
                <w:bCs/>
                <w:noProof/>
              </w:rPr>
              <w:t>Problema</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_Toc227767705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4</w:t>
            </w:r>
            <w:r w:rsidRPr="006E7775">
              <w:rPr>
                <w:rFonts w:ascii="Arial" w:hAnsi="Arial" w:cs="Arial"/>
                <w:noProof/>
                <w:webHidden/>
              </w:rPr>
              <w:fldChar w:fldCharType="end"/>
            </w:r>
          </w:hyperlink>
        </w:p>
        <w:p w:rsidRPr="006E7775" w:rsidR="006E7775" w:rsidRDefault="006E7775" w14:paraId="64134019" w14:textId="3608C5BA">
          <w:pPr>
            <w:pStyle w:val="TDC3"/>
            <w:tabs>
              <w:tab w:val="right" w:leader="dot" w:pos="8828"/>
            </w:tabs>
            <w:rPr>
              <w:rFonts w:ascii="Arial" w:hAnsi="Arial" w:cs="Arial"/>
              <w:noProof/>
            </w:rPr>
          </w:pPr>
          <w:hyperlink w:history="1" w:anchor="_Toc227767706">
            <w:r w:rsidRPr="006E7775">
              <w:rPr>
                <w:rStyle w:val="Hipervnculo"/>
                <w:rFonts w:ascii="Arial" w:hAnsi="Arial" w:cs="Arial"/>
                <w:noProof/>
              </w:rPr>
              <w:t xml:space="preserve">1.1.1 </w:t>
            </w:r>
            <w:r w:rsidRPr="006E7775">
              <w:rPr>
                <w:rStyle w:val="Hipervnculo"/>
                <w:rFonts w:ascii="Arial" w:hAnsi="Arial" w:cs="Arial"/>
                <w:b/>
                <w:bCs/>
                <w:noProof/>
              </w:rPr>
              <w:t>Enunciar el problema</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_Toc227767706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4</w:t>
            </w:r>
            <w:r w:rsidRPr="006E7775">
              <w:rPr>
                <w:rFonts w:ascii="Arial" w:hAnsi="Arial" w:cs="Arial"/>
                <w:noProof/>
                <w:webHidden/>
              </w:rPr>
              <w:fldChar w:fldCharType="end"/>
            </w:r>
          </w:hyperlink>
        </w:p>
        <w:p w:rsidRPr="006E7775" w:rsidR="006E7775" w:rsidRDefault="006E7775" w14:paraId="518EE4E9" w14:textId="6469BE8F">
          <w:pPr>
            <w:pStyle w:val="TDC3"/>
            <w:tabs>
              <w:tab w:val="right" w:leader="dot" w:pos="8828"/>
            </w:tabs>
            <w:rPr>
              <w:rFonts w:ascii="Arial" w:hAnsi="Arial" w:cs="Arial"/>
              <w:noProof/>
            </w:rPr>
          </w:pPr>
          <w:hyperlink w:history="1" w:anchor="_Toc227767707">
            <w:r w:rsidRPr="006E7775">
              <w:rPr>
                <w:rStyle w:val="Hipervnculo"/>
                <w:rFonts w:ascii="Arial" w:hAnsi="Arial" w:cs="Arial"/>
                <w:noProof/>
              </w:rPr>
              <w:t xml:space="preserve">1.1.2 </w:t>
            </w:r>
            <w:r w:rsidRPr="006E7775">
              <w:rPr>
                <w:rStyle w:val="Hipervnculo"/>
                <w:rFonts w:ascii="Arial" w:hAnsi="Arial" w:cs="Arial"/>
                <w:b/>
                <w:bCs/>
                <w:noProof/>
              </w:rPr>
              <w:t>Formular el Problema</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_Toc227767707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4</w:t>
            </w:r>
            <w:r w:rsidRPr="006E7775">
              <w:rPr>
                <w:rFonts w:ascii="Arial" w:hAnsi="Arial" w:cs="Arial"/>
                <w:noProof/>
                <w:webHidden/>
              </w:rPr>
              <w:fldChar w:fldCharType="end"/>
            </w:r>
          </w:hyperlink>
        </w:p>
        <w:p w:rsidRPr="006E7775" w:rsidR="006E7775" w:rsidRDefault="006E7775" w14:paraId="71F092B6" w14:textId="38CE0089">
          <w:pPr>
            <w:pStyle w:val="TDC2"/>
            <w:tabs>
              <w:tab w:val="right" w:leader="dot" w:pos="8828"/>
            </w:tabs>
            <w:rPr>
              <w:rFonts w:ascii="Arial" w:hAnsi="Arial" w:cs="Arial"/>
              <w:noProof/>
            </w:rPr>
          </w:pPr>
          <w:hyperlink w:history="1" w:anchor="_Toc227767708">
            <w:r w:rsidRPr="006E7775">
              <w:rPr>
                <w:rStyle w:val="Hipervnculo"/>
                <w:rFonts w:ascii="Arial" w:hAnsi="Arial" w:cs="Arial"/>
                <w:noProof/>
              </w:rPr>
              <w:t xml:space="preserve">1.2 </w:t>
            </w:r>
            <w:r w:rsidRPr="006E7775">
              <w:rPr>
                <w:rStyle w:val="Hipervnculo"/>
                <w:rFonts w:ascii="Arial" w:hAnsi="Arial" w:cs="Arial"/>
                <w:b/>
                <w:bCs/>
                <w:noProof/>
              </w:rPr>
              <w:t>Justificación</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_Toc227767708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4</w:t>
            </w:r>
            <w:r w:rsidRPr="006E7775">
              <w:rPr>
                <w:rFonts w:ascii="Arial" w:hAnsi="Arial" w:cs="Arial"/>
                <w:noProof/>
                <w:webHidden/>
              </w:rPr>
              <w:fldChar w:fldCharType="end"/>
            </w:r>
          </w:hyperlink>
        </w:p>
        <w:p w:rsidRPr="006E7775" w:rsidR="006E7775" w:rsidRDefault="006E7775" w14:paraId="353948AE" w14:textId="1AF828E1">
          <w:pPr>
            <w:pStyle w:val="TDC2"/>
            <w:tabs>
              <w:tab w:val="right" w:leader="dot" w:pos="8828"/>
            </w:tabs>
            <w:rPr>
              <w:rFonts w:ascii="Arial" w:hAnsi="Arial" w:cs="Arial"/>
              <w:noProof/>
            </w:rPr>
          </w:pPr>
          <w:hyperlink w:history="1" w:anchor="_Toc227767709">
            <w:r w:rsidRPr="006E7775">
              <w:rPr>
                <w:rStyle w:val="Hipervnculo"/>
                <w:rFonts w:ascii="Arial" w:hAnsi="Arial" w:cs="Arial"/>
                <w:noProof/>
              </w:rPr>
              <w:t xml:space="preserve">1.3 </w:t>
            </w:r>
            <w:r w:rsidRPr="006E7775">
              <w:rPr>
                <w:rStyle w:val="Hipervnculo"/>
                <w:rFonts w:ascii="Arial" w:hAnsi="Arial" w:cs="Arial"/>
                <w:b/>
                <w:bCs/>
                <w:noProof/>
              </w:rPr>
              <w:t>Objetivos</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_Toc227767709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5</w:t>
            </w:r>
            <w:r w:rsidRPr="006E7775">
              <w:rPr>
                <w:rFonts w:ascii="Arial" w:hAnsi="Arial" w:cs="Arial"/>
                <w:noProof/>
                <w:webHidden/>
              </w:rPr>
              <w:fldChar w:fldCharType="end"/>
            </w:r>
          </w:hyperlink>
        </w:p>
        <w:p w:rsidRPr="006E7775" w:rsidR="006E7775" w:rsidRDefault="006E7775" w14:paraId="71A5F8B9" w14:textId="1CBFADCA">
          <w:pPr>
            <w:pStyle w:val="TDC3"/>
            <w:tabs>
              <w:tab w:val="right" w:leader="dot" w:pos="8828"/>
            </w:tabs>
            <w:rPr>
              <w:rFonts w:ascii="Arial" w:hAnsi="Arial" w:cs="Arial"/>
              <w:noProof/>
            </w:rPr>
          </w:pPr>
          <w:hyperlink w:history="1" w:anchor="_Toc227767710">
            <w:r w:rsidRPr="006E7775">
              <w:rPr>
                <w:rStyle w:val="Hipervnculo"/>
                <w:rFonts w:ascii="Arial" w:hAnsi="Arial" w:cs="Arial"/>
                <w:noProof/>
              </w:rPr>
              <w:t xml:space="preserve">1.3.1 </w:t>
            </w:r>
            <w:r w:rsidRPr="006E7775">
              <w:rPr>
                <w:rStyle w:val="Hipervnculo"/>
                <w:rFonts w:ascii="Arial" w:hAnsi="Arial" w:cs="Arial"/>
                <w:b/>
                <w:bCs/>
                <w:noProof/>
              </w:rPr>
              <w:t>Objetivo General</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_Toc227767710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5</w:t>
            </w:r>
            <w:r w:rsidRPr="006E7775">
              <w:rPr>
                <w:rFonts w:ascii="Arial" w:hAnsi="Arial" w:cs="Arial"/>
                <w:noProof/>
                <w:webHidden/>
              </w:rPr>
              <w:fldChar w:fldCharType="end"/>
            </w:r>
          </w:hyperlink>
        </w:p>
        <w:p w:rsidRPr="006E7775" w:rsidR="006E7775" w:rsidRDefault="006E7775" w14:paraId="0743D649" w14:textId="0310F3C1">
          <w:pPr>
            <w:pStyle w:val="TDC3"/>
            <w:tabs>
              <w:tab w:val="right" w:leader="dot" w:pos="8828"/>
            </w:tabs>
            <w:rPr>
              <w:rFonts w:ascii="Arial" w:hAnsi="Arial" w:cs="Arial"/>
              <w:noProof/>
            </w:rPr>
          </w:pPr>
          <w:hyperlink w:history="1" w:anchor="_Toc227767711">
            <w:r w:rsidRPr="006E7775">
              <w:rPr>
                <w:rStyle w:val="Hipervnculo"/>
                <w:rFonts w:ascii="Arial" w:hAnsi="Arial" w:cs="Arial"/>
                <w:noProof/>
              </w:rPr>
              <w:t xml:space="preserve">1.3.2 </w:t>
            </w:r>
            <w:r w:rsidRPr="006E7775">
              <w:rPr>
                <w:rStyle w:val="Hipervnculo"/>
                <w:rFonts w:ascii="Arial" w:hAnsi="Arial" w:cs="Arial"/>
                <w:b/>
                <w:bCs/>
                <w:noProof/>
              </w:rPr>
              <w:t>Objetivos específicos</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_Toc227767711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5</w:t>
            </w:r>
            <w:r w:rsidRPr="006E7775">
              <w:rPr>
                <w:rFonts w:ascii="Arial" w:hAnsi="Arial" w:cs="Arial"/>
                <w:noProof/>
                <w:webHidden/>
              </w:rPr>
              <w:fldChar w:fldCharType="end"/>
            </w:r>
          </w:hyperlink>
        </w:p>
        <w:p w:rsidRPr="006E7775" w:rsidR="006E7775" w:rsidRDefault="006E7775" w14:paraId="50805269" w14:textId="5D6A24DB">
          <w:pPr>
            <w:pStyle w:val="TDC2"/>
            <w:tabs>
              <w:tab w:val="right" w:leader="dot" w:pos="8828"/>
            </w:tabs>
            <w:rPr>
              <w:rFonts w:ascii="Arial" w:hAnsi="Arial" w:cs="Arial"/>
              <w:noProof/>
            </w:rPr>
          </w:pPr>
          <w:hyperlink w:history="1" w:anchor="_Toc227767712">
            <w:r w:rsidRPr="006E7775">
              <w:rPr>
                <w:rStyle w:val="Hipervnculo"/>
                <w:rFonts w:ascii="Arial" w:hAnsi="Arial" w:cs="Arial"/>
                <w:noProof/>
              </w:rPr>
              <w:t xml:space="preserve">1.4 </w:t>
            </w:r>
            <w:r w:rsidRPr="006E7775">
              <w:rPr>
                <w:rStyle w:val="Hipervnculo"/>
                <w:rFonts w:ascii="Arial" w:hAnsi="Arial" w:cs="Arial"/>
                <w:b/>
                <w:bCs/>
                <w:noProof/>
              </w:rPr>
              <w:t>Hipótesis</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_Toc227767712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5</w:t>
            </w:r>
            <w:r w:rsidRPr="006E7775">
              <w:rPr>
                <w:rFonts w:ascii="Arial" w:hAnsi="Arial" w:cs="Arial"/>
                <w:noProof/>
                <w:webHidden/>
              </w:rPr>
              <w:fldChar w:fldCharType="end"/>
            </w:r>
          </w:hyperlink>
        </w:p>
        <w:p w:rsidRPr="006E7775" w:rsidR="006E7775" w:rsidRDefault="006E7775" w14:paraId="65E66035" w14:textId="55470379">
          <w:pPr>
            <w:pStyle w:val="TDC2"/>
            <w:tabs>
              <w:tab w:val="right" w:leader="dot" w:pos="8828"/>
            </w:tabs>
            <w:rPr>
              <w:rFonts w:ascii="Arial" w:hAnsi="Arial" w:cs="Arial"/>
              <w:noProof/>
            </w:rPr>
          </w:pPr>
          <w:hyperlink w:history="1" w:anchor="_Toc227767713">
            <w:r w:rsidRPr="006E7775">
              <w:rPr>
                <w:rStyle w:val="Hipervnculo"/>
                <w:rFonts w:ascii="Arial" w:hAnsi="Arial" w:cs="Arial"/>
                <w:noProof/>
              </w:rPr>
              <w:t xml:space="preserve">1.5 </w:t>
            </w:r>
            <w:r w:rsidRPr="006E7775">
              <w:rPr>
                <w:rStyle w:val="Hipervnculo"/>
                <w:rFonts w:ascii="Arial" w:hAnsi="Arial" w:cs="Arial"/>
                <w:b/>
                <w:bCs/>
                <w:noProof/>
              </w:rPr>
              <w:t>Delimitación de la Investigación</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_Toc227767713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6</w:t>
            </w:r>
            <w:r w:rsidRPr="006E7775">
              <w:rPr>
                <w:rFonts w:ascii="Arial" w:hAnsi="Arial" w:cs="Arial"/>
                <w:noProof/>
                <w:webHidden/>
              </w:rPr>
              <w:fldChar w:fldCharType="end"/>
            </w:r>
          </w:hyperlink>
        </w:p>
        <w:p w:rsidRPr="006E7775" w:rsidR="006E7775" w:rsidRDefault="006E7775" w14:paraId="5205B7D4" w14:textId="2EB241C1">
          <w:pPr>
            <w:pStyle w:val="TDC1"/>
            <w:tabs>
              <w:tab w:val="right" w:leader="dot" w:pos="8828"/>
            </w:tabs>
            <w:rPr>
              <w:rFonts w:ascii="Arial" w:hAnsi="Arial" w:cs="Arial"/>
              <w:noProof/>
            </w:rPr>
          </w:pPr>
          <w:hyperlink w:history="1" w:anchor="_Toc227767714">
            <w:r w:rsidRPr="006E7775">
              <w:rPr>
                <w:rStyle w:val="Hipervnculo"/>
                <w:rFonts w:ascii="Arial" w:hAnsi="Arial" w:cs="Arial"/>
                <w:b/>
                <w:bCs/>
                <w:noProof/>
              </w:rPr>
              <w:t>Capítulo II: Marco de Referencia</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_Toc227767714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6</w:t>
            </w:r>
            <w:r w:rsidRPr="006E7775">
              <w:rPr>
                <w:rFonts w:ascii="Arial" w:hAnsi="Arial" w:cs="Arial"/>
                <w:noProof/>
                <w:webHidden/>
              </w:rPr>
              <w:fldChar w:fldCharType="end"/>
            </w:r>
          </w:hyperlink>
        </w:p>
        <w:p w:rsidRPr="006E7775" w:rsidR="006E7775" w:rsidRDefault="006E7775" w14:paraId="406A3368" w14:textId="6F8B1C70">
          <w:pPr>
            <w:pStyle w:val="TDC2"/>
            <w:tabs>
              <w:tab w:val="right" w:leader="dot" w:pos="8828"/>
            </w:tabs>
            <w:rPr>
              <w:rFonts w:ascii="Arial" w:hAnsi="Arial" w:cs="Arial"/>
              <w:noProof/>
            </w:rPr>
          </w:pPr>
          <w:hyperlink w:history="1" w:anchor="_Toc227767715">
            <w:r w:rsidRPr="006E7775">
              <w:rPr>
                <w:rStyle w:val="Hipervnculo"/>
                <w:rFonts w:ascii="Arial" w:hAnsi="Arial" w:cs="Arial"/>
                <w:noProof/>
              </w:rPr>
              <w:t xml:space="preserve">2.1 </w:t>
            </w:r>
            <w:r w:rsidRPr="006E7775">
              <w:rPr>
                <w:rStyle w:val="Hipervnculo"/>
                <w:rFonts w:ascii="Arial" w:hAnsi="Arial" w:cs="Arial"/>
                <w:b/>
                <w:bCs/>
                <w:noProof/>
              </w:rPr>
              <w:t>Estado del Arte</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_Toc227767715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6</w:t>
            </w:r>
            <w:r w:rsidRPr="006E7775">
              <w:rPr>
                <w:rFonts w:ascii="Arial" w:hAnsi="Arial" w:cs="Arial"/>
                <w:noProof/>
                <w:webHidden/>
              </w:rPr>
              <w:fldChar w:fldCharType="end"/>
            </w:r>
          </w:hyperlink>
        </w:p>
        <w:p w:rsidRPr="006E7775" w:rsidR="006E7775" w:rsidRDefault="006E7775" w14:paraId="4542EC21" w14:textId="0D227A2B">
          <w:pPr>
            <w:pStyle w:val="TDC2"/>
            <w:tabs>
              <w:tab w:val="right" w:leader="dot" w:pos="8828"/>
            </w:tabs>
            <w:rPr>
              <w:rFonts w:ascii="Arial" w:hAnsi="Arial" w:cs="Arial"/>
              <w:noProof/>
            </w:rPr>
          </w:pPr>
          <w:hyperlink w:history="1" w:anchor="_Toc227767716">
            <w:r w:rsidRPr="006E7775">
              <w:rPr>
                <w:rStyle w:val="Hipervnculo"/>
                <w:rFonts w:ascii="Arial" w:hAnsi="Arial" w:cs="Arial"/>
                <w:noProof/>
              </w:rPr>
              <w:t xml:space="preserve">2.3 </w:t>
            </w:r>
            <w:r w:rsidRPr="006E7775">
              <w:rPr>
                <w:rStyle w:val="Hipervnculo"/>
                <w:rFonts w:ascii="Arial" w:hAnsi="Arial" w:cs="Arial"/>
                <w:b/>
                <w:bCs/>
                <w:noProof/>
              </w:rPr>
              <w:t>Marco Conceptual</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_Toc227767716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7</w:t>
            </w:r>
            <w:r w:rsidRPr="006E7775">
              <w:rPr>
                <w:rFonts w:ascii="Arial" w:hAnsi="Arial" w:cs="Arial"/>
                <w:noProof/>
                <w:webHidden/>
              </w:rPr>
              <w:fldChar w:fldCharType="end"/>
            </w:r>
          </w:hyperlink>
        </w:p>
        <w:p w:rsidRPr="006E7775" w:rsidR="006E7775" w:rsidRDefault="006E7775" w14:paraId="3369958A" w14:textId="11117DFE">
          <w:pPr>
            <w:pStyle w:val="TDC2"/>
            <w:tabs>
              <w:tab w:val="right" w:leader="dot" w:pos="8828"/>
            </w:tabs>
            <w:rPr>
              <w:rFonts w:ascii="Arial" w:hAnsi="Arial" w:cs="Arial"/>
              <w:noProof/>
            </w:rPr>
          </w:pPr>
          <w:hyperlink w:history="1" w:anchor="_Toc227767717">
            <w:r w:rsidRPr="006E7775">
              <w:rPr>
                <w:rStyle w:val="Hipervnculo"/>
                <w:rFonts w:ascii="Arial" w:hAnsi="Arial" w:cs="Arial"/>
                <w:noProof/>
              </w:rPr>
              <w:t xml:space="preserve">2.4 </w:t>
            </w:r>
            <w:r w:rsidRPr="006E7775">
              <w:rPr>
                <w:rStyle w:val="Hipervnculo"/>
                <w:rFonts w:ascii="Arial" w:hAnsi="Arial" w:cs="Arial"/>
                <w:b/>
                <w:bCs/>
                <w:noProof/>
              </w:rPr>
              <w:t>Marco Normativo</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_Toc227767717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7</w:t>
            </w:r>
            <w:r w:rsidRPr="006E7775">
              <w:rPr>
                <w:rFonts w:ascii="Arial" w:hAnsi="Arial" w:cs="Arial"/>
                <w:noProof/>
                <w:webHidden/>
              </w:rPr>
              <w:fldChar w:fldCharType="end"/>
            </w:r>
          </w:hyperlink>
        </w:p>
        <w:p w:rsidRPr="006E7775" w:rsidR="006E7775" w:rsidRDefault="006E7775" w14:paraId="749AAA05" w14:textId="1959CA5F">
          <w:pPr>
            <w:pStyle w:val="TDC2"/>
            <w:tabs>
              <w:tab w:val="right" w:leader="dot" w:pos="8828"/>
            </w:tabs>
            <w:rPr>
              <w:rFonts w:ascii="Arial" w:hAnsi="Arial" w:cs="Arial"/>
              <w:noProof/>
            </w:rPr>
          </w:pPr>
          <w:hyperlink w:history="1" w:anchor="_Toc227767718">
            <w:r w:rsidRPr="006E7775">
              <w:rPr>
                <w:rStyle w:val="Hipervnculo"/>
                <w:rFonts w:ascii="Arial" w:hAnsi="Arial" w:cs="Arial"/>
                <w:noProof/>
              </w:rPr>
              <w:t xml:space="preserve">2.5 </w:t>
            </w:r>
            <w:r w:rsidRPr="006E7775">
              <w:rPr>
                <w:rStyle w:val="Hipervnculo"/>
                <w:rFonts w:ascii="Arial" w:hAnsi="Arial" w:cs="Arial"/>
                <w:b/>
                <w:bCs/>
                <w:noProof/>
              </w:rPr>
              <w:t>Marco Contextual</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_Toc227767718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8</w:t>
            </w:r>
            <w:r w:rsidRPr="006E7775">
              <w:rPr>
                <w:rFonts w:ascii="Arial" w:hAnsi="Arial" w:cs="Arial"/>
                <w:noProof/>
                <w:webHidden/>
              </w:rPr>
              <w:fldChar w:fldCharType="end"/>
            </w:r>
          </w:hyperlink>
        </w:p>
        <w:p w:rsidRPr="006E7775" w:rsidR="006E7775" w:rsidRDefault="006E7775" w14:paraId="6C796851" w14:textId="5DC9098B">
          <w:pPr>
            <w:pStyle w:val="TDC1"/>
            <w:tabs>
              <w:tab w:val="right" w:leader="dot" w:pos="8828"/>
            </w:tabs>
            <w:rPr>
              <w:rFonts w:ascii="Arial" w:hAnsi="Arial" w:cs="Arial"/>
              <w:noProof/>
            </w:rPr>
          </w:pPr>
          <w:hyperlink w:history="1" w:anchor="_Toc227767719">
            <w:r w:rsidRPr="006E7775">
              <w:rPr>
                <w:rStyle w:val="Hipervnculo"/>
                <w:rFonts w:ascii="Arial" w:hAnsi="Arial" w:cs="Arial"/>
                <w:b/>
                <w:bCs/>
                <w:noProof/>
              </w:rPr>
              <w:t>Referencias Bibliográficas</w:t>
            </w:r>
            <w:r w:rsidRPr="006E7775">
              <w:rPr>
                <w:rFonts w:ascii="Arial" w:hAnsi="Arial" w:cs="Arial"/>
                <w:noProof/>
                <w:webHidden/>
              </w:rPr>
              <w:tab/>
            </w:r>
            <w:r w:rsidRPr="006E7775">
              <w:rPr>
                <w:rFonts w:ascii="Arial" w:hAnsi="Arial" w:cs="Arial"/>
                <w:noProof/>
                <w:webHidden/>
              </w:rPr>
              <w:fldChar w:fldCharType="begin"/>
            </w:r>
            <w:r w:rsidRPr="006E7775">
              <w:rPr>
                <w:rFonts w:ascii="Arial" w:hAnsi="Arial" w:cs="Arial"/>
                <w:noProof/>
                <w:webHidden/>
              </w:rPr>
              <w:instrText xml:space="preserve"> PAGEREF _Toc227767719 \h </w:instrText>
            </w:r>
            <w:r w:rsidRPr="006E7775">
              <w:rPr>
                <w:rFonts w:ascii="Arial" w:hAnsi="Arial" w:cs="Arial"/>
                <w:noProof/>
                <w:webHidden/>
              </w:rPr>
            </w:r>
            <w:r w:rsidRPr="006E7775">
              <w:rPr>
                <w:rFonts w:ascii="Arial" w:hAnsi="Arial" w:cs="Arial"/>
                <w:noProof/>
                <w:webHidden/>
              </w:rPr>
              <w:fldChar w:fldCharType="separate"/>
            </w:r>
            <w:r w:rsidRPr="006E7775">
              <w:rPr>
                <w:rFonts w:ascii="Arial" w:hAnsi="Arial" w:cs="Arial"/>
                <w:noProof/>
                <w:webHidden/>
              </w:rPr>
              <w:t>8</w:t>
            </w:r>
            <w:r w:rsidRPr="006E7775">
              <w:rPr>
                <w:rFonts w:ascii="Arial" w:hAnsi="Arial" w:cs="Arial"/>
                <w:noProof/>
                <w:webHidden/>
              </w:rPr>
              <w:fldChar w:fldCharType="end"/>
            </w:r>
          </w:hyperlink>
        </w:p>
        <w:p w:rsidR="006E7775" w:rsidRDefault="006E7775" w14:paraId="4DC6BF94" w14:textId="047FFB48">
          <w:r w:rsidRPr="006E7775">
            <w:rPr>
              <w:rFonts w:ascii="Arial" w:hAnsi="Arial" w:cs="Arial"/>
              <w:b/>
              <w:bCs/>
              <w:lang w:val="es-ES"/>
            </w:rPr>
            <w:fldChar w:fldCharType="end"/>
          </w:r>
        </w:p>
      </w:sdtContent>
    </w:sdt>
    <w:p w:rsidR="00D07E62" w:rsidP="00D07E62" w:rsidRDefault="00D07E62" w14:paraId="06520ED3" w14:textId="77777777">
      <w:pPr>
        <w:rPr>
          <w:rFonts w:ascii="Arial" w:hAnsi="Arial" w:cs="Arial"/>
          <w:lang w:val="es-ES"/>
        </w:rPr>
      </w:pPr>
    </w:p>
    <w:p w:rsidR="00D07E62" w:rsidP="00D07E62" w:rsidRDefault="00D07E62" w14:paraId="0AB5F031" w14:textId="77777777">
      <w:pPr>
        <w:rPr>
          <w:rFonts w:ascii="Arial" w:hAnsi="Arial" w:cs="Arial"/>
          <w:lang w:val="es-ES"/>
        </w:rPr>
      </w:pPr>
    </w:p>
    <w:p w:rsidR="00D07E62" w:rsidP="00D07E62" w:rsidRDefault="00D07E62" w14:paraId="34981526" w14:textId="77777777">
      <w:pPr>
        <w:rPr>
          <w:rFonts w:ascii="Arial" w:hAnsi="Arial" w:cs="Arial"/>
          <w:lang w:val="es-ES"/>
        </w:rPr>
      </w:pPr>
    </w:p>
    <w:p w:rsidR="00D07E62" w:rsidP="00D07E62" w:rsidRDefault="00D07E62" w14:paraId="6E8A7D54" w14:textId="77777777">
      <w:pPr>
        <w:rPr>
          <w:rFonts w:ascii="Arial" w:hAnsi="Arial" w:cs="Arial"/>
          <w:lang w:val="es-ES"/>
        </w:rPr>
      </w:pPr>
    </w:p>
    <w:p w:rsidR="00D07E62" w:rsidP="00D07E62" w:rsidRDefault="00D07E62" w14:paraId="0AEB311C" w14:textId="77777777">
      <w:pPr>
        <w:rPr>
          <w:rFonts w:ascii="Arial" w:hAnsi="Arial" w:cs="Arial"/>
          <w:lang w:val="es-ES"/>
        </w:rPr>
      </w:pPr>
    </w:p>
    <w:p w:rsidR="00D07E62" w:rsidP="00D07E62" w:rsidRDefault="00D07E62" w14:paraId="3839EF2D" w14:textId="77777777">
      <w:pPr>
        <w:rPr>
          <w:rFonts w:ascii="Arial" w:hAnsi="Arial" w:cs="Arial"/>
          <w:lang w:val="es-ES"/>
        </w:rPr>
      </w:pPr>
    </w:p>
    <w:p w:rsidR="00D07E62" w:rsidP="00D07E62" w:rsidRDefault="00D07E62" w14:paraId="11FD4CCA" w14:textId="77777777">
      <w:pPr>
        <w:rPr>
          <w:rFonts w:ascii="Arial" w:hAnsi="Arial" w:cs="Arial"/>
          <w:lang w:val="es-ES"/>
        </w:rPr>
      </w:pPr>
    </w:p>
    <w:p w:rsidR="00D07E62" w:rsidP="00D07E62" w:rsidRDefault="00D07E62" w14:paraId="321A70A0" w14:textId="77777777">
      <w:pPr>
        <w:rPr>
          <w:rFonts w:ascii="Arial" w:hAnsi="Arial" w:cs="Arial"/>
          <w:lang w:val="es-ES"/>
        </w:rPr>
      </w:pPr>
    </w:p>
    <w:p w:rsidR="00D07E62" w:rsidP="00D07E62" w:rsidRDefault="00D07E62" w14:paraId="59E93151" w14:textId="77777777">
      <w:pPr>
        <w:rPr>
          <w:rFonts w:ascii="Arial" w:hAnsi="Arial" w:cs="Arial"/>
          <w:lang w:val="es-ES"/>
        </w:rPr>
      </w:pPr>
    </w:p>
    <w:p w:rsidR="00D07E62" w:rsidP="00D07E62" w:rsidRDefault="00D07E62" w14:paraId="7964DFB7" w14:textId="77777777">
      <w:pPr>
        <w:rPr>
          <w:rFonts w:ascii="Arial" w:hAnsi="Arial" w:cs="Arial"/>
          <w:lang w:val="es-ES"/>
        </w:rPr>
      </w:pPr>
    </w:p>
    <w:p w:rsidR="00D07E62" w:rsidP="00D07E62" w:rsidRDefault="00D07E62" w14:paraId="2366964E" w14:textId="77777777">
      <w:pPr>
        <w:rPr>
          <w:rFonts w:ascii="Arial" w:hAnsi="Arial" w:cs="Arial"/>
          <w:lang w:val="es-ES"/>
        </w:rPr>
      </w:pPr>
    </w:p>
    <w:p w:rsidRPr="003B528B" w:rsidR="00D07E62" w:rsidP="003B528B" w:rsidRDefault="00D07E62" w14:paraId="7AD971A0" w14:textId="2FC50C83">
      <w:pPr>
        <w:pStyle w:val="Ttulo1"/>
        <w:rPr>
          <w:rFonts w:ascii="Arial" w:hAnsi="Arial" w:cs="Arial"/>
          <w:b/>
          <w:bCs/>
          <w:color w:val="auto"/>
          <w:sz w:val="22"/>
          <w:szCs w:val="22"/>
          <w:lang w:val="es-ES"/>
        </w:rPr>
      </w:pPr>
      <w:bookmarkStart w:name="_Toc227767703" w:id="0"/>
      <w:r w:rsidRPr="003B528B">
        <w:rPr>
          <w:rFonts w:ascii="Arial" w:hAnsi="Arial" w:cs="Arial"/>
          <w:b/>
          <w:bCs/>
          <w:color w:val="auto"/>
          <w:sz w:val="22"/>
          <w:szCs w:val="22"/>
          <w:lang w:val="es-ES"/>
        </w:rPr>
        <w:t>INTRODUCCIÓN</w:t>
      </w:r>
      <w:bookmarkEnd w:id="0"/>
    </w:p>
    <w:p w:rsidR="00D07E62" w:rsidP="00D07E62" w:rsidRDefault="00D07E62" w14:paraId="296B1E80" w14:textId="77777777">
      <w:pPr>
        <w:rPr>
          <w:rFonts w:ascii="Arial" w:hAnsi="Arial" w:cs="Arial"/>
          <w:lang w:val="es-ES"/>
        </w:rPr>
      </w:pPr>
    </w:p>
    <w:p w:rsidRPr="00D07E62" w:rsidR="00D07E62" w:rsidP="003B528B" w:rsidRDefault="00D07E62" w14:paraId="440081EC" w14:textId="77777777">
      <w:pPr>
        <w:jc w:val="both"/>
        <w:rPr>
          <w:rFonts w:ascii="Arial" w:hAnsi="Arial" w:cs="Arial"/>
        </w:rPr>
      </w:pPr>
      <w:r w:rsidRPr="00D07E62">
        <w:rPr>
          <w:rFonts w:ascii="Arial" w:hAnsi="Arial" w:cs="Arial"/>
        </w:rPr>
        <w:t>El sistema de subsidio familiar en Colombia representa uno de los pilares más importantes de la política social, siendo el subsidio de vivienda (FOVIS) una herramienta fundamental para reducir las brechas de equidad habitacional en el país. En este contexto, la Superintendencia del Subsidio Familiar ejerce una función crítica de vigilancia, garantizando que los recursos administrados por las Cajas de Compensación se ejecuten bajo los principios de legalidad y transparencia.</w:t>
      </w:r>
    </w:p>
    <w:p w:rsidRPr="00D07E62" w:rsidR="00D07E62" w:rsidP="003B528B" w:rsidRDefault="00D07E62" w14:paraId="6285170B" w14:textId="77777777">
      <w:pPr>
        <w:jc w:val="both"/>
        <w:rPr>
          <w:rFonts w:ascii="Arial" w:hAnsi="Arial" w:cs="Arial"/>
        </w:rPr>
      </w:pPr>
      <w:r w:rsidRPr="00D07E62">
        <w:rPr>
          <w:rFonts w:ascii="Arial" w:hAnsi="Arial" w:cs="Arial"/>
        </w:rPr>
        <w:t>Tradicionalmente, esta labor de supervisión se ha concentrado en el cumplimiento normativo y la verificación de la ejecución presupuestal a través de reportes contables en el sistema SIGER. No obstante, la dinámica actual de los territorios exige que la vigilancia técnica evolucione hacia una comprensión más profunda de la pertinencia territorial de la inversión. Es decir, no basta con validar que el recurso sea gastado, sino que es necesario caracterizar si dicha asignación responde de manera efectiva a las necesidades reales de los afiliados en las zonas más vulnerables.</w:t>
      </w:r>
    </w:p>
    <w:p w:rsidRPr="00D07E62" w:rsidR="00D07E62" w:rsidP="003B528B" w:rsidRDefault="00D07E62" w14:paraId="26D1F8CF" w14:textId="77777777">
      <w:pPr>
        <w:jc w:val="both"/>
        <w:rPr>
          <w:rFonts w:ascii="Arial" w:hAnsi="Arial" w:cs="Arial"/>
        </w:rPr>
      </w:pPr>
      <w:r w:rsidRPr="00D07E62">
        <w:rPr>
          <w:rFonts w:ascii="Arial" w:hAnsi="Arial" w:cs="Arial"/>
        </w:rPr>
        <w:t>La presente investigación se enfoca en el departamento del Tolima durante el periodo 2022-2023. A través de un estudio descriptivo, se busca contrastar la información de asignación de subsidios con los indicadores de déficit habitacional reportados por el DANE. El propósito central es identificar posibles asimetrías en la cobertura y determinar si existe una concentración de la inversión en centros urbanos que pudiese estar postergando la atención en municipios con mayores carencias sociales.</w:t>
      </w:r>
    </w:p>
    <w:p w:rsidR="00D07E62" w:rsidP="003B528B" w:rsidRDefault="00D07E62" w14:paraId="6042E1AF" w14:textId="77777777">
      <w:pPr>
        <w:jc w:val="both"/>
        <w:rPr>
          <w:rFonts w:ascii="Arial" w:hAnsi="Arial" w:cs="Arial"/>
        </w:rPr>
      </w:pPr>
      <w:r w:rsidRPr="00D07E62">
        <w:rPr>
          <w:rFonts w:ascii="Arial" w:hAnsi="Arial" w:cs="Arial"/>
        </w:rPr>
        <w:t>Este documento presenta una propuesta técnica que utiliza los recursos ofimáticos existentes para transformar datos administrativos en inteligencia institucional. Con ello, se pretende aportar hallazgos objetivos que fortalezcan los criterios de supervisión de la entidad, promoviendo una vigilancia que pase del control de cifras a una evaluación de la pertinencia social del gasto en el territorio.</w:t>
      </w:r>
    </w:p>
    <w:p w:rsidR="003B528B" w:rsidP="003B528B" w:rsidRDefault="003B528B" w14:paraId="0ECF4EC5" w14:textId="77777777">
      <w:pPr>
        <w:jc w:val="both"/>
        <w:rPr>
          <w:rFonts w:ascii="Arial" w:hAnsi="Arial" w:cs="Arial"/>
        </w:rPr>
      </w:pPr>
    </w:p>
    <w:p w:rsidR="003B528B" w:rsidP="003B528B" w:rsidRDefault="003B528B" w14:paraId="1CCB0F75" w14:textId="77777777">
      <w:pPr>
        <w:jc w:val="both"/>
        <w:rPr>
          <w:rFonts w:ascii="Arial" w:hAnsi="Arial" w:cs="Arial"/>
        </w:rPr>
      </w:pPr>
    </w:p>
    <w:p w:rsidR="003B528B" w:rsidP="003B528B" w:rsidRDefault="003B528B" w14:paraId="283B0750" w14:textId="77777777">
      <w:pPr>
        <w:jc w:val="both"/>
        <w:rPr>
          <w:rFonts w:ascii="Arial" w:hAnsi="Arial" w:cs="Arial"/>
        </w:rPr>
      </w:pPr>
    </w:p>
    <w:p w:rsidR="003B528B" w:rsidP="003B528B" w:rsidRDefault="003B528B" w14:paraId="06A7CAA7" w14:textId="77777777">
      <w:pPr>
        <w:jc w:val="both"/>
        <w:rPr>
          <w:rFonts w:ascii="Arial" w:hAnsi="Arial" w:cs="Arial"/>
        </w:rPr>
      </w:pPr>
    </w:p>
    <w:p w:rsidR="003B528B" w:rsidP="003B528B" w:rsidRDefault="003B528B" w14:paraId="63703006" w14:textId="77777777">
      <w:pPr>
        <w:jc w:val="both"/>
        <w:rPr>
          <w:rFonts w:ascii="Arial" w:hAnsi="Arial" w:cs="Arial"/>
        </w:rPr>
      </w:pPr>
    </w:p>
    <w:p w:rsidR="003B528B" w:rsidP="003B528B" w:rsidRDefault="003B528B" w14:paraId="30EC77A9" w14:textId="77777777">
      <w:pPr>
        <w:jc w:val="both"/>
        <w:rPr>
          <w:rFonts w:ascii="Arial" w:hAnsi="Arial" w:cs="Arial"/>
        </w:rPr>
      </w:pPr>
    </w:p>
    <w:p w:rsidR="003B528B" w:rsidP="003B528B" w:rsidRDefault="003B528B" w14:paraId="6823E31B" w14:textId="77777777">
      <w:pPr>
        <w:jc w:val="both"/>
        <w:rPr>
          <w:rFonts w:ascii="Arial" w:hAnsi="Arial" w:cs="Arial"/>
        </w:rPr>
      </w:pPr>
    </w:p>
    <w:p w:rsidR="003B528B" w:rsidP="003B528B" w:rsidRDefault="003B528B" w14:paraId="15D0F287" w14:textId="77777777">
      <w:pPr>
        <w:jc w:val="both"/>
        <w:rPr>
          <w:rFonts w:ascii="Arial" w:hAnsi="Arial" w:cs="Arial"/>
        </w:rPr>
      </w:pPr>
    </w:p>
    <w:p w:rsidR="003B528B" w:rsidP="003B528B" w:rsidRDefault="003B528B" w14:paraId="4A87FEF9" w14:textId="77777777">
      <w:pPr>
        <w:jc w:val="both"/>
        <w:rPr>
          <w:rFonts w:ascii="Arial" w:hAnsi="Arial" w:cs="Arial"/>
        </w:rPr>
      </w:pPr>
    </w:p>
    <w:p w:rsidR="003B528B" w:rsidP="003B528B" w:rsidRDefault="003B528B" w14:paraId="5AA3733F" w14:textId="77777777">
      <w:pPr>
        <w:jc w:val="both"/>
        <w:rPr>
          <w:rFonts w:ascii="Arial" w:hAnsi="Arial" w:cs="Arial"/>
        </w:rPr>
      </w:pPr>
    </w:p>
    <w:p w:rsidR="003B528B" w:rsidP="003B528B" w:rsidRDefault="003B528B" w14:paraId="67DDF72F" w14:textId="77777777">
      <w:pPr>
        <w:jc w:val="both"/>
        <w:rPr>
          <w:rFonts w:ascii="Arial" w:hAnsi="Arial" w:cs="Arial"/>
        </w:rPr>
      </w:pPr>
    </w:p>
    <w:p w:rsidR="003B528B" w:rsidP="003B528B" w:rsidRDefault="003B528B" w14:paraId="1E088179" w14:textId="77777777">
      <w:pPr>
        <w:jc w:val="both"/>
        <w:rPr>
          <w:rFonts w:ascii="Arial" w:hAnsi="Arial" w:cs="Arial"/>
        </w:rPr>
      </w:pPr>
    </w:p>
    <w:p w:rsidR="003B528B" w:rsidP="00AA3FD3" w:rsidRDefault="003B528B" w14:paraId="54943B89" w14:textId="7C0A78FB">
      <w:pPr>
        <w:pStyle w:val="Ttulo1"/>
        <w:rPr>
          <w:rFonts w:ascii="Arial" w:hAnsi="Arial" w:cs="Arial"/>
          <w:b/>
          <w:bCs/>
          <w:color w:val="auto"/>
          <w:sz w:val="22"/>
          <w:szCs w:val="22"/>
        </w:rPr>
      </w:pPr>
      <w:bookmarkStart w:name="_Toc227767704" w:id="1"/>
      <w:r w:rsidRPr="003B528B">
        <w:rPr>
          <w:rFonts w:ascii="Arial" w:hAnsi="Arial" w:cs="Arial"/>
          <w:b/>
          <w:bCs/>
          <w:color w:val="auto"/>
          <w:sz w:val="22"/>
          <w:szCs w:val="22"/>
        </w:rPr>
        <w:t xml:space="preserve">Capítulo </w:t>
      </w:r>
      <w:r w:rsidR="00E40328">
        <w:rPr>
          <w:rFonts w:ascii="Arial" w:hAnsi="Arial" w:cs="Arial"/>
          <w:b/>
          <w:bCs/>
          <w:color w:val="auto"/>
          <w:sz w:val="22"/>
          <w:szCs w:val="22"/>
        </w:rPr>
        <w:t>I</w:t>
      </w:r>
      <w:r w:rsidRPr="003B528B">
        <w:rPr>
          <w:rFonts w:ascii="Arial" w:hAnsi="Arial" w:cs="Arial"/>
          <w:b/>
          <w:bCs/>
          <w:color w:val="auto"/>
          <w:sz w:val="22"/>
          <w:szCs w:val="22"/>
        </w:rPr>
        <w:t>: Planteamiento de la Investigación</w:t>
      </w:r>
      <w:bookmarkEnd w:id="1"/>
    </w:p>
    <w:p w:rsidRPr="009C51FB" w:rsidR="009C51FB" w:rsidP="009C51FB" w:rsidRDefault="009C51FB" w14:paraId="5EE400F8" w14:textId="77777777"/>
    <w:p w:rsidRPr="009C51FB" w:rsidR="009C51FB" w:rsidP="009C51FB" w:rsidRDefault="001B2C3E" w14:paraId="12C594E8" w14:textId="7D6D4AB8">
      <w:pPr>
        <w:pStyle w:val="Ttulo2"/>
        <w:rPr>
          <w:rFonts w:ascii="Arial" w:hAnsi="Arial" w:cs="Arial"/>
          <w:b/>
          <w:bCs/>
          <w:color w:val="auto"/>
          <w:sz w:val="22"/>
          <w:szCs w:val="22"/>
        </w:rPr>
      </w:pPr>
      <w:bookmarkStart w:name="_Toc227767705" w:id="2"/>
      <w:r w:rsidRPr="00AA3FD3">
        <w:rPr>
          <w:rFonts w:ascii="Arial" w:hAnsi="Arial" w:cs="Arial"/>
          <w:color w:val="auto"/>
          <w:sz w:val="22"/>
          <w:szCs w:val="22"/>
        </w:rPr>
        <w:t xml:space="preserve">1.1 </w:t>
      </w:r>
      <w:r w:rsidRPr="00AA3FD3">
        <w:rPr>
          <w:rStyle w:val="Ttulo2Car"/>
          <w:rFonts w:ascii="Arial" w:hAnsi="Arial" w:cs="Arial"/>
          <w:b/>
          <w:bCs/>
          <w:color w:val="auto"/>
          <w:sz w:val="22"/>
          <w:szCs w:val="22"/>
        </w:rPr>
        <w:t>Problema</w:t>
      </w:r>
      <w:bookmarkEnd w:id="2"/>
    </w:p>
    <w:p w:rsidR="00AA3FD3" w:rsidP="00A75390" w:rsidRDefault="009C51FB" w14:paraId="2326E64C" w14:textId="5889ECD7">
      <w:pPr>
        <w:jc w:val="both"/>
        <w:rPr>
          <w:rFonts w:ascii="Arial" w:hAnsi="Arial" w:cs="Arial"/>
        </w:rPr>
      </w:pPr>
      <w:r w:rsidRPr="009C51FB">
        <w:rPr>
          <w:rFonts w:ascii="Arial" w:hAnsi="Arial" w:cs="Arial"/>
        </w:rPr>
        <w:t>El análisis del Fondo de Vivienda de Interés Social (FOVIS) en el Tolima revela una tensión entre la gestión administrativa y la realidad socioeconómica del departamento. Mientras que la normativa exige una ejecución presupuestal eficiente, la supervisión técnica enfrenta el reto de validar que estos recursos no solo se gasten, sino que se asignen bajo criterios de equidad territorial. El problema central se ubica en la brecha informativa que existe entre lo que reportan las plataformas contables y las necesidades de vivienda que registran los censos oficiales.</w:t>
      </w:r>
    </w:p>
    <w:p w:rsidR="009C51FB" w:rsidP="00AA3FD3" w:rsidRDefault="009C51FB" w14:paraId="414431CB" w14:textId="77777777">
      <w:pPr>
        <w:rPr>
          <w:rFonts w:ascii="Arial" w:hAnsi="Arial" w:cs="Arial"/>
        </w:rPr>
      </w:pPr>
    </w:p>
    <w:p w:rsidR="009C51FB" w:rsidP="009C51FB" w:rsidRDefault="009C51FB" w14:paraId="4DC79A0A" w14:textId="7308297C">
      <w:pPr>
        <w:pStyle w:val="Ttulo3"/>
        <w:rPr>
          <w:rFonts w:ascii="Arial" w:hAnsi="Arial" w:cs="Arial"/>
          <w:b/>
          <w:bCs/>
          <w:color w:val="auto"/>
          <w:sz w:val="22"/>
          <w:szCs w:val="22"/>
        </w:rPr>
      </w:pPr>
      <w:bookmarkStart w:name="_Toc227767706" w:id="3"/>
      <w:r w:rsidRPr="009C51FB">
        <w:rPr>
          <w:rFonts w:ascii="Arial" w:hAnsi="Arial" w:cs="Arial"/>
          <w:color w:val="auto"/>
          <w:sz w:val="22"/>
          <w:szCs w:val="22"/>
        </w:rPr>
        <w:t xml:space="preserve">1.1.1 </w:t>
      </w:r>
      <w:r w:rsidRPr="009C51FB">
        <w:rPr>
          <w:rFonts w:ascii="Arial" w:hAnsi="Arial" w:cs="Arial"/>
          <w:b/>
          <w:bCs/>
          <w:color w:val="auto"/>
          <w:sz w:val="22"/>
          <w:szCs w:val="22"/>
        </w:rPr>
        <w:t>Enunciar el problema</w:t>
      </w:r>
      <w:bookmarkEnd w:id="3"/>
    </w:p>
    <w:p w:rsidRPr="009C51FB" w:rsidR="009C51FB" w:rsidP="00A75390" w:rsidRDefault="009C51FB" w14:paraId="6A33ED0C" w14:textId="53B28F16">
      <w:pPr>
        <w:jc w:val="both"/>
        <w:rPr>
          <w:rFonts w:ascii="Arial" w:hAnsi="Arial" w:cs="Arial"/>
        </w:rPr>
      </w:pPr>
      <w:r w:rsidRPr="009C51FB">
        <w:rPr>
          <w:rFonts w:ascii="Arial" w:hAnsi="Arial" w:cs="Arial"/>
        </w:rPr>
        <w:t>Históricamente, la vigilancia de la Superintendencia del Subsidio Familiar en el Tolima ha seguido un enfoque normativo y contable, limitado a verificar en el sistema SIGER el cumplimiento legal del gasto. No obstante, este modelo de control ignora la fenomenología de la distribución territorial: se observa una marcada tendencia a la concentración de subsidios en centros urbanos con oferta inmobiliaria dinámica (como el caso de Ibagué), dejando en un segundo plano las zonas con mayores índices de déficit habitacional.</w:t>
      </w:r>
    </w:p>
    <w:p w:rsidR="009C51FB" w:rsidP="00A75390" w:rsidRDefault="009C51FB" w14:paraId="150FD2ED" w14:textId="6519D78C">
      <w:pPr>
        <w:jc w:val="both"/>
        <w:rPr>
          <w:rFonts w:ascii="Arial" w:hAnsi="Arial" w:cs="Arial"/>
        </w:rPr>
      </w:pPr>
      <w:r w:rsidRPr="009C51FB">
        <w:rPr>
          <w:rFonts w:ascii="Arial" w:hAnsi="Arial" w:cs="Arial"/>
        </w:rPr>
        <w:t>La realidad observada muestra una desconexión técnica entre los reportes de ejecución institucional y las necesidades reales del territorio. Al no existir un análisis descriptivo que contraste la asignación de las Cajas frente a la demanda potencial reportada por el DANE para el periodo 2022-2023, la entidad carece de herramientas objetivas para evaluar la pertinencia social de la inversión. Este vacío de información reduce la capacidad de supervisión a un ejercicio de saldos financieros, sin considerar si el subsidio está cumpliendo su función de reducir la brecha de vivienda en los municipios más vulnerables del departamento.</w:t>
      </w:r>
    </w:p>
    <w:p w:rsidR="009C51FB" w:rsidP="009C51FB" w:rsidRDefault="009C51FB" w14:paraId="64565B16" w14:textId="77777777">
      <w:pPr>
        <w:rPr>
          <w:rFonts w:ascii="Arial" w:hAnsi="Arial" w:cs="Arial"/>
        </w:rPr>
      </w:pPr>
    </w:p>
    <w:p w:rsidR="009C51FB" w:rsidP="009C51FB" w:rsidRDefault="009C51FB" w14:paraId="12308AD6" w14:textId="0BE18B91">
      <w:pPr>
        <w:pStyle w:val="Ttulo3"/>
        <w:rPr>
          <w:rFonts w:ascii="Arial" w:hAnsi="Arial" w:cs="Arial"/>
          <w:b/>
          <w:bCs/>
          <w:color w:val="auto"/>
          <w:sz w:val="22"/>
          <w:szCs w:val="22"/>
        </w:rPr>
      </w:pPr>
      <w:bookmarkStart w:name="_Toc227767707" w:id="4"/>
      <w:r w:rsidRPr="009C51FB">
        <w:rPr>
          <w:rFonts w:ascii="Arial" w:hAnsi="Arial" w:cs="Arial"/>
          <w:color w:val="auto"/>
          <w:sz w:val="22"/>
          <w:szCs w:val="22"/>
        </w:rPr>
        <w:t>1.</w:t>
      </w:r>
      <w:r>
        <w:rPr>
          <w:rFonts w:ascii="Arial" w:hAnsi="Arial" w:cs="Arial"/>
          <w:color w:val="auto"/>
          <w:sz w:val="22"/>
          <w:szCs w:val="22"/>
        </w:rPr>
        <w:t>1</w:t>
      </w:r>
      <w:r w:rsidRPr="009C51FB">
        <w:rPr>
          <w:rFonts w:ascii="Arial" w:hAnsi="Arial" w:cs="Arial"/>
          <w:color w:val="auto"/>
          <w:sz w:val="22"/>
          <w:szCs w:val="22"/>
        </w:rPr>
        <w:t>.</w:t>
      </w:r>
      <w:r>
        <w:rPr>
          <w:rFonts w:ascii="Arial" w:hAnsi="Arial" w:cs="Arial"/>
          <w:color w:val="auto"/>
          <w:sz w:val="22"/>
          <w:szCs w:val="22"/>
        </w:rPr>
        <w:t>2</w:t>
      </w:r>
      <w:r w:rsidRPr="009C51FB">
        <w:rPr>
          <w:rFonts w:ascii="Arial" w:hAnsi="Arial" w:cs="Arial"/>
          <w:color w:val="auto"/>
          <w:sz w:val="22"/>
          <w:szCs w:val="22"/>
        </w:rPr>
        <w:t xml:space="preserve"> </w:t>
      </w:r>
      <w:r w:rsidRPr="009C51FB">
        <w:rPr>
          <w:rFonts w:ascii="Arial" w:hAnsi="Arial" w:cs="Arial"/>
          <w:b/>
          <w:bCs/>
          <w:color w:val="auto"/>
          <w:sz w:val="22"/>
          <w:szCs w:val="22"/>
        </w:rPr>
        <w:t>Formular el Problema</w:t>
      </w:r>
      <w:bookmarkEnd w:id="4"/>
    </w:p>
    <w:p w:rsidR="009C51FB" w:rsidP="00A75390" w:rsidRDefault="009C51FB" w14:paraId="480DECCE" w14:textId="023977AD">
      <w:pPr>
        <w:jc w:val="both"/>
        <w:rPr>
          <w:rFonts w:ascii="Arial" w:hAnsi="Arial" w:cs="Arial"/>
        </w:rPr>
      </w:pPr>
      <w:r w:rsidRPr="009C51FB">
        <w:rPr>
          <w:rFonts w:ascii="Arial" w:hAnsi="Arial" w:cs="Arial"/>
        </w:rPr>
        <w:t>¿Cuál es el nivel de cobertura y pertinencia territorial de los subsidios de vivienda (FOVIS) asignados por las Cajas de Compensación en el Tolima durante el periodo 2022-2023, al contrastar la ejecución del sistema SIGER con la demanda potencial identificada por el DANE?</w:t>
      </w:r>
    </w:p>
    <w:p w:rsidR="009C51FB" w:rsidP="009C51FB" w:rsidRDefault="009C51FB" w14:paraId="1E14A856" w14:textId="77777777">
      <w:pPr>
        <w:rPr>
          <w:rFonts w:ascii="Arial" w:hAnsi="Arial" w:cs="Arial"/>
        </w:rPr>
      </w:pPr>
    </w:p>
    <w:p w:rsidRPr="00A75390" w:rsidR="009C51FB" w:rsidP="00A75390" w:rsidRDefault="009C51FB" w14:paraId="792825C9" w14:textId="3FBCBED7">
      <w:pPr>
        <w:pStyle w:val="Ttulo2"/>
        <w:rPr>
          <w:rStyle w:val="Ttulo2Car"/>
          <w:rFonts w:ascii="Arial" w:hAnsi="Arial" w:cs="Arial"/>
          <w:b/>
          <w:bCs/>
          <w:color w:val="auto"/>
          <w:sz w:val="22"/>
          <w:szCs w:val="22"/>
        </w:rPr>
      </w:pPr>
      <w:bookmarkStart w:name="_Toc227767708" w:id="5"/>
      <w:r w:rsidRPr="00A75390">
        <w:rPr>
          <w:rFonts w:ascii="Arial" w:hAnsi="Arial" w:cs="Arial"/>
          <w:color w:val="auto"/>
          <w:sz w:val="22"/>
          <w:szCs w:val="22"/>
        </w:rPr>
        <w:t xml:space="preserve">1.2 </w:t>
      </w:r>
      <w:r w:rsidRPr="00A75390">
        <w:rPr>
          <w:rStyle w:val="Ttulo2Car"/>
          <w:rFonts w:ascii="Arial" w:hAnsi="Arial" w:cs="Arial"/>
          <w:b/>
          <w:bCs/>
          <w:color w:val="auto"/>
          <w:sz w:val="22"/>
          <w:szCs w:val="22"/>
        </w:rPr>
        <w:t>Justificación</w:t>
      </w:r>
      <w:bookmarkEnd w:id="5"/>
    </w:p>
    <w:p w:rsidR="00A75390" w:rsidP="00A75390" w:rsidRDefault="00A75390" w14:paraId="636D5DBD" w14:textId="75B20AED">
      <w:pPr>
        <w:jc w:val="both"/>
        <w:rPr>
          <w:rFonts w:ascii="Arial" w:hAnsi="Arial" w:cs="Arial"/>
        </w:rPr>
      </w:pPr>
      <w:r w:rsidRPr="00A75390">
        <w:rPr>
          <w:rFonts w:ascii="Arial" w:hAnsi="Arial" w:cs="Arial"/>
        </w:rPr>
        <w:t>La presente investigación es necesaria para fortalecer la vigilancia técnica de la Superintendencia del Subsidio Familiar en el departamento del Tolima, permitiendo una transición de un modelo de control meramente contable hacia un análisis integral de cobertura territorial. La relevancia de este estudio se fundamenta en los siguientes aspectos:</w:t>
      </w:r>
    </w:p>
    <w:p w:rsidR="00A75390" w:rsidP="00A75390" w:rsidRDefault="00A75390" w14:paraId="7DF81B1A" w14:textId="77777777">
      <w:pPr>
        <w:jc w:val="both"/>
        <w:rPr>
          <w:rFonts w:ascii="Arial" w:hAnsi="Arial" w:cs="Arial"/>
        </w:rPr>
      </w:pPr>
    </w:p>
    <w:p w:rsidR="00A75390" w:rsidP="00A75390" w:rsidRDefault="00A75390" w14:paraId="2814D7E2" w14:textId="612DDAFA">
      <w:pPr>
        <w:jc w:val="both"/>
        <w:rPr>
          <w:rFonts w:ascii="Arial" w:hAnsi="Arial" w:cs="Arial"/>
        </w:rPr>
      </w:pPr>
      <w:r>
        <w:rPr>
          <w:rFonts w:ascii="Arial" w:hAnsi="Arial" w:cs="Arial"/>
        </w:rPr>
        <w:t xml:space="preserve">Fortalecimiento Institucional: </w:t>
      </w:r>
      <w:r w:rsidRPr="00A75390">
        <w:rPr>
          <w:rFonts w:ascii="Arial" w:hAnsi="Arial" w:cs="Arial"/>
        </w:rPr>
        <w:t>El proyecto aporta criterios técnicos para que la supervisión de los recursos FOVIS se base en datos reales de necesidad y no solo en el cumplimiento de normas presupuestales. Esto permite identificar brechas críticas entre la ejecución del gasto y la demanda habitacional, optimizando la capacidad de respuesta de la entidad.</w:t>
      </w:r>
    </w:p>
    <w:p w:rsidR="00A75390" w:rsidP="00A75390" w:rsidRDefault="00A75390" w14:paraId="0D09F769" w14:textId="747BC11E">
      <w:pPr>
        <w:jc w:val="both"/>
        <w:rPr>
          <w:rFonts w:ascii="Arial" w:hAnsi="Arial" w:cs="Arial"/>
        </w:rPr>
      </w:pPr>
      <w:r>
        <w:rPr>
          <w:rFonts w:ascii="Arial" w:hAnsi="Arial" w:cs="Arial"/>
        </w:rPr>
        <w:t xml:space="preserve">Equidad Social: </w:t>
      </w:r>
      <w:r w:rsidRPr="00A75390">
        <w:rPr>
          <w:rFonts w:ascii="Arial" w:hAnsi="Arial" w:cs="Arial"/>
        </w:rPr>
        <w:t>Al contrastar la ejecución del sistema SIGER con la demanda potencial identificada por el DANE, se valida que los subsidios cumplan su función social de reducir la brecha de vivienda. Esto asegura que la inversión llegue a los municipios con mayores carencias, promoviendo una distribución más justa del recurso parafiscal.</w:t>
      </w:r>
    </w:p>
    <w:p w:rsidR="00A75390" w:rsidP="00A75390" w:rsidRDefault="00A75390" w14:paraId="3B10F3E1" w14:textId="514B45FB">
      <w:pPr>
        <w:jc w:val="both"/>
        <w:rPr>
          <w:rFonts w:ascii="Arial" w:hAnsi="Arial" w:cs="Arial"/>
        </w:rPr>
      </w:pPr>
      <w:r>
        <w:rPr>
          <w:rFonts w:ascii="Arial" w:hAnsi="Arial" w:cs="Arial"/>
        </w:rPr>
        <w:t>Eficiencia Operativa:</w:t>
      </w:r>
      <w:r w:rsidRPr="00A75390">
        <w:t xml:space="preserve"> </w:t>
      </w:r>
      <w:r w:rsidRPr="00A75390">
        <w:rPr>
          <w:rFonts w:ascii="Arial" w:hAnsi="Arial" w:cs="Arial"/>
        </w:rPr>
        <w:t>La investigación demuestra viabilidad al utilizar herramientas existentes (SIGER y Excel) y talento humano propio. Al transformar datos administrativos en inteligencia institucional sin generar costos adicionales, el estudio se convierte en un modelo de gestión eficiente y replicable para la supervisión de otros fondos sociales.</w:t>
      </w:r>
    </w:p>
    <w:p w:rsidR="00A75390" w:rsidP="00A75390" w:rsidRDefault="00A75390" w14:paraId="7AE8DB44" w14:textId="77777777">
      <w:pPr>
        <w:jc w:val="both"/>
        <w:rPr>
          <w:rFonts w:ascii="Arial" w:hAnsi="Arial" w:cs="Arial"/>
        </w:rPr>
      </w:pPr>
    </w:p>
    <w:p w:rsidR="00A75390" w:rsidP="00A75390" w:rsidRDefault="00A75390" w14:paraId="3216E646" w14:textId="62472340">
      <w:pPr>
        <w:pStyle w:val="Ttulo2"/>
        <w:rPr>
          <w:rFonts w:ascii="Arial" w:hAnsi="Arial" w:cs="Arial"/>
          <w:b/>
          <w:bCs/>
          <w:color w:val="auto"/>
          <w:sz w:val="22"/>
          <w:szCs w:val="22"/>
        </w:rPr>
      </w:pPr>
      <w:bookmarkStart w:name="_Toc227767709" w:id="6"/>
      <w:r w:rsidRPr="00A75390">
        <w:rPr>
          <w:rFonts w:ascii="Arial" w:hAnsi="Arial" w:cs="Arial"/>
          <w:color w:val="auto"/>
          <w:sz w:val="22"/>
          <w:szCs w:val="22"/>
        </w:rPr>
        <w:t xml:space="preserve">1.3 </w:t>
      </w:r>
      <w:r w:rsidRPr="00A75390">
        <w:rPr>
          <w:rFonts w:ascii="Arial" w:hAnsi="Arial" w:cs="Arial"/>
          <w:b/>
          <w:bCs/>
          <w:color w:val="auto"/>
          <w:sz w:val="22"/>
          <w:szCs w:val="22"/>
        </w:rPr>
        <w:t>Objetivos</w:t>
      </w:r>
      <w:bookmarkEnd w:id="6"/>
    </w:p>
    <w:p w:rsidRPr="0008752D" w:rsidR="00A75390" w:rsidP="0008752D" w:rsidRDefault="00A75390" w14:paraId="55BFDDFF" w14:textId="1806CDEF">
      <w:pPr>
        <w:pStyle w:val="Ttulo3"/>
        <w:rPr>
          <w:rFonts w:ascii="Arial" w:hAnsi="Arial" w:cs="Arial"/>
          <w:b/>
          <w:bCs/>
          <w:color w:val="auto"/>
          <w:sz w:val="22"/>
          <w:szCs w:val="22"/>
        </w:rPr>
      </w:pPr>
      <w:bookmarkStart w:name="_Toc227767710" w:id="7"/>
      <w:r w:rsidRPr="00A75390">
        <w:rPr>
          <w:rFonts w:ascii="Arial" w:hAnsi="Arial" w:cs="Arial"/>
          <w:color w:val="auto"/>
          <w:sz w:val="22"/>
          <w:szCs w:val="22"/>
        </w:rPr>
        <w:t xml:space="preserve">1.3.1 </w:t>
      </w:r>
      <w:r w:rsidRPr="00A75390">
        <w:rPr>
          <w:rFonts w:ascii="Arial" w:hAnsi="Arial" w:cs="Arial"/>
          <w:b/>
          <w:bCs/>
          <w:color w:val="auto"/>
          <w:sz w:val="22"/>
          <w:szCs w:val="22"/>
        </w:rPr>
        <w:t>Objetivo General</w:t>
      </w:r>
      <w:bookmarkEnd w:id="7"/>
    </w:p>
    <w:p w:rsidR="0008752D" w:rsidP="0008752D" w:rsidRDefault="0008752D" w14:paraId="219801C6" w14:textId="57A915EE">
      <w:pPr>
        <w:jc w:val="both"/>
        <w:rPr>
          <w:rFonts w:ascii="Arial" w:hAnsi="Arial" w:cs="Arial"/>
        </w:rPr>
      </w:pPr>
      <w:r w:rsidRPr="0008752D">
        <w:rPr>
          <w:rFonts w:ascii="Arial" w:hAnsi="Arial" w:cs="Arial"/>
        </w:rPr>
        <w:t>Caracterizar la cobertura territorial de los subsidios de vivienda (FOVIS) asignados por las Cajas de Compensación en el Tolima durante el periodo 2022-2023, mediante un análisis descriptivo que rel</w:t>
      </w:r>
      <w:r>
        <w:rPr>
          <w:rFonts w:ascii="Arial" w:hAnsi="Arial" w:cs="Arial"/>
        </w:rPr>
        <w:t>acion</w:t>
      </w:r>
      <w:r w:rsidRPr="0008752D">
        <w:rPr>
          <w:rFonts w:ascii="Arial" w:hAnsi="Arial" w:cs="Arial"/>
        </w:rPr>
        <w:t>e la ejecución reportada en el sistema SIGER con la demanda potencial identificada por el DANE.</w:t>
      </w:r>
    </w:p>
    <w:p w:rsidR="0008752D" w:rsidP="00A75390" w:rsidRDefault="0008752D" w14:paraId="06C01C8A" w14:textId="31F14290">
      <w:pPr>
        <w:rPr>
          <w:rFonts w:ascii="Arial" w:hAnsi="Arial" w:cs="Arial"/>
        </w:rPr>
      </w:pPr>
    </w:p>
    <w:p w:rsidRPr="0008752D" w:rsidR="0008752D" w:rsidP="0008752D" w:rsidRDefault="0008752D" w14:paraId="042D5ECD" w14:textId="582942AC">
      <w:pPr>
        <w:pStyle w:val="Ttulo3"/>
        <w:rPr>
          <w:rFonts w:ascii="Arial" w:hAnsi="Arial" w:cs="Arial"/>
          <w:b/>
          <w:bCs/>
          <w:color w:val="auto"/>
          <w:sz w:val="22"/>
          <w:szCs w:val="22"/>
        </w:rPr>
      </w:pPr>
      <w:bookmarkStart w:name="_Toc227767711" w:id="8"/>
      <w:r w:rsidRPr="0008752D">
        <w:rPr>
          <w:rFonts w:ascii="Arial" w:hAnsi="Arial" w:cs="Arial"/>
          <w:color w:val="auto"/>
          <w:sz w:val="22"/>
          <w:szCs w:val="22"/>
        </w:rPr>
        <w:t xml:space="preserve">1.3.2 </w:t>
      </w:r>
      <w:r w:rsidRPr="0008752D">
        <w:rPr>
          <w:rFonts w:ascii="Arial" w:hAnsi="Arial" w:cs="Arial"/>
          <w:b/>
          <w:bCs/>
          <w:color w:val="auto"/>
          <w:sz w:val="22"/>
          <w:szCs w:val="22"/>
        </w:rPr>
        <w:t>Objetivos específicos</w:t>
      </w:r>
      <w:bookmarkEnd w:id="8"/>
    </w:p>
    <w:p w:rsidRPr="0008752D" w:rsidR="0008752D" w:rsidP="000C0FAA" w:rsidRDefault="0008752D" w14:paraId="4F860C37" w14:textId="45826CB1">
      <w:pPr>
        <w:pStyle w:val="Prrafodelista"/>
        <w:numPr>
          <w:ilvl w:val="0"/>
          <w:numId w:val="1"/>
        </w:numPr>
        <w:jc w:val="both"/>
        <w:rPr>
          <w:rFonts w:ascii="Arial" w:hAnsi="Arial" w:cs="Arial"/>
        </w:rPr>
      </w:pPr>
      <w:r w:rsidRPr="0008752D">
        <w:rPr>
          <w:rFonts w:ascii="Arial" w:hAnsi="Arial" w:cs="Arial"/>
        </w:rPr>
        <w:t>Consolidar l</w:t>
      </w:r>
      <w:r w:rsidRPr="0008752D">
        <w:rPr>
          <w:rFonts w:ascii="Arial" w:hAnsi="Arial" w:cs="Arial"/>
        </w:rPr>
        <w:t>as cifras de asignación de subsidios FOVIS (2022-2023) registradas en el sistema SIGER, segmentándolas por municipio y categoría de afiliación de los beneficiarios.</w:t>
      </w:r>
    </w:p>
    <w:p w:rsidRPr="0008752D" w:rsidR="0008752D" w:rsidP="000C0FAA" w:rsidRDefault="0008752D" w14:paraId="415E4747" w14:textId="44B13CFA">
      <w:pPr>
        <w:pStyle w:val="Prrafodelista"/>
        <w:numPr>
          <w:ilvl w:val="0"/>
          <w:numId w:val="1"/>
        </w:numPr>
        <w:jc w:val="both"/>
        <w:rPr>
          <w:rFonts w:ascii="Arial" w:hAnsi="Arial" w:cs="Arial"/>
        </w:rPr>
      </w:pPr>
      <w:r w:rsidRPr="0008752D">
        <w:rPr>
          <w:rFonts w:ascii="Arial" w:hAnsi="Arial" w:cs="Arial"/>
        </w:rPr>
        <w:t>Identificar los niveles de déficit habitacional en los municipios del departamento del Tolima, utilizando para ello los indicadores técnicos y censales vigentes del DANE.</w:t>
      </w:r>
    </w:p>
    <w:p w:rsidRPr="0008752D" w:rsidR="0008752D" w:rsidP="000C0FAA" w:rsidRDefault="0008752D" w14:paraId="02763D6A" w14:textId="537CAC43">
      <w:pPr>
        <w:pStyle w:val="Prrafodelista"/>
        <w:numPr>
          <w:ilvl w:val="0"/>
          <w:numId w:val="1"/>
        </w:numPr>
        <w:jc w:val="both"/>
        <w:rPr>
          <w:rFonts w:ascii="Arial" w:hAnsi="Arial" w:cs="Arial"/>
        </w:rPr>
      </w:pPr>
      <w:r w:rsidRPr="0008752D">
        <w:rPr>
          <w:rFonts w:ascii="Arial" w:hAnsi="Arial" w:cs="Arial"/>
        </w:rPr>
        <w:t>Comparar la distribución geográfica de los recursos asignados frente a las necesidades habitacionales territoriales, con el fin de identificar las brechas de cobertura existentes.</w:t>
      </w:r>
    </w:p>
    <w:p w:rsidR="0008752D" w:rsidP="000C0FAA" w:rsidRDefault="0008752D" w14:paraId="43F63810" w14:textId="787CC7E9">
      <w:pPr>
        <w:pStyle w:val="Prrafodelista"/>
        <w:numPr>
          <w:ilvl w:val="0"/>
          <w:numId w:val="1"/>
        </w:numPr>
        <w:jc w:val="both"/>
        <w:rPr>
          <w:rFonts w:ascii="Arial" w:hAnsi="Arial" w:cs="Arial"/>
        </w:rPr>
      </w:pPr>
      <w:r w:rsidRPr="0008752D">
        <w:rPr>
          <w:rFonts w:ascii="Arial" w:hAnsi="Arial" w:cs="Arial"/>
        </w:rPr>
        <w:t>Presentar hallazgos técnicos que sirvan como insumo para fortalecer los procesos de vigilancia de la inversión social y la pertinencia territorial en la región.</w:t>
      </w:r>
    </w:p>
    <w:p w:rsidR="0008752D" w:rsidP="0008752D" w:rsidRDefault="0008752D" w14:paraId="4AD59056" w14:textId="77777777">
      <w:pPr>
        <w:rPr>
          <w:rFonts w:ascii="Arial" w:hAnsi="Arial" w:cs="Arial"/>
        </w:rPr>
      </w:pPr>
    </w:p>
    <w:p w:rsidR="0008752D" w:rsidP="0008752D" w:rsidRDefault="0008752D" w14:paraId="52E7F4E2" w14:textId="7511E33D">
      <w:pPr>
        <w:pStyle w:val="Ttulo2"/>
        <w:rPr>
          <w:rFonts w:ascii="Arial" w:hAnsi="Arial" w:cs="Arial"/>
        </w:rPr>
      </w:pPr>
      <w:bookmarkStart w:name="_Toc227767712" w:id="9"/>
      <w:r w:rsidRPr="0008752D">
        <w:rPr>
          <w:rFonts w:ascii="Arial" w:hAnsi="Arial" w:cs="Arial"/>
          <w:color w:val="auto"/>
          <w:sz w:val="22"/>
          <w:szCs w:val="22"/>
        </w:rPr>
        <w:t xml:space="preserve">1.4 </w:t>
      </w:r>
      <w:r w:rsidRPr="0008752D">
        <w:rPr>
          <w:rFonts w:ascii="Arial" w:hAnsi="Arial" w:cs="Arial"/>
          <w:b/>
          <w:bCs/>
          <w:color w:val="auto"/>
          <w:sz w:val="22"/>
          <w:szCs w:val="22"/>
        </w:rPr>
        <w:t>Hipótesis</w:t>
      </w:r>
      <w:bookmarkEnd w:id="9"/>
      <w:r w:rsidRPr="0008752D">
        <w:rPr>
          <w:rFonts w:ascii="Arial" w:hAnsi="Arial" w:cs="Arial"/>
        </w:rPr>
        <w:tab/>
      </w:r>
    </w:p>
    <w:p w:rsidR="0008752D" w:rsidP="000C0FAA" w:rsidRDefault="000C0FAA" w14:paraId="11052899" w14:textId="6D78A579">
      <w:pPr>
        <w:jc w:val="both"/>
        <w:rPr>
          <w:rFonts w:ascii="Arial" w:hAnsi="Arial" w:cs="Arial"/>
        </w:rPr>
      </w:pPr>
      <w:r w:rsidRPr="000C0FAA">
        <w:rPr>
          <w:rFonts w:ascii="Arial" w:hAnsi="Arial" w:cs="Arial"/>
        </w:rPr>
        <w:t>Existe una asimetría entre la distribución territorial de los subsidios de vivienda (FOVIS) y la demanda potencial en el departamento del Tolima durante el periodo 2022-2023. Se plantea que la cobertura de las Cajas de Compensación presenta una concentración estadística en municipios con mayor desarrollo urbano y dinamismo inmobiliario, mostrando una baja correlación con las zonas que registran los índices de déficit habitacional más críticos según los indicadores del DANE.</w:t>
      </w:r>
    </w:p>
    <w:p w:rsidR="000C0FAA" w:rsidP="0008752D" w:rsidRDefault="000C0FAA" w14:paraId="5EB092DE" w14:textId="77777777">
      <w:pPr>
        <w:rPr>
          <w:rFonts w:ascii="Arial" w:hAnsi="Arial" w:cs="Arial"/>
        </w:rPr>
      </w:pPr>
    </w:p>
    <w:p w:rsidR="000C0FAA" w:rsidP="000C0FAA" w:rsidRDefault="000C0FAA" w14:paraId="7916CEAB" w14:textId="34DF134F">
      <w:pPr>
        <w:pStyle w:val="Ttulo2"/>
        <w:rPr>
          <w:rFonts w:ascii="Arial" w:hAnsi="Arial" w:cs="Arial"/>
          <w:b/>
          <w:bCs/>
          <w:color w:val="auto"/>
          <w:sz w:val="22"/>
          <w:szCs w:val="22"/>
        </w:rPr>
      </w:pPr>
      <w:bookmarkStart w:name="_Toc227767713" w:id="10"/>
      <w:r w:rsidRPr="000C0FAA">
        <w:rPr>
          <w:rFonts w:ascii="Arial" w:hAnsi="Arial" w:cs="Arial"/>
          <w:color w:val="auto"/>
          <w:sz w:val="22"/>
          <w:szCs w:val="22"/>
        </w:rPr>
        <w:t xml:space="preserve">1.5 </w:t>
      </w:r>
      <w:r w:rsidRPr="000C0FAA">
        <w:rPr>
          <w:rFonts w:ascii="Arial" w:hAnsi="Arial" w:cs="Arial"/>
          <w:b/>
          <w:bCs/>
          <w:color w:val="auto"/>
          <w:sz w:val="22"/>
          <w:szCs w:val="22"/>
        </w:rPr>
        <w:t>Delimitación de la Investigación</w:t>
      </w:r>
      <w:bookmarkEnd w:id="10"/>
    </w:p>
    <w:p w:rsidRPr="000C0FAA" w:rsidR="000C0FAA" w:rsidP="000C0FAA" w:rsidRDefault="000C0FAA" w14:paraId="4C9EC989" w14:textId="1DE26D0F">
      <w:pPr>
        <w:jc w:val="both"/>
        <w:rPr>
          <w:rFonts w:ascii="Arial" w:hAnsi="Arial" w:cs="Arial"/>
        </w:rPr>
      </w:pPr>
      <w:r w:rsidRPr="000C0FAA">
        <w:rPr>
          <w:rFonts w:ascii="Arial" w:hAnsi="Arial" w:cs="Arial"/>
        </w:rPr>
        <w:t>La presente investigación se circunscribe técnica, espacial y temporalmente para garantizar la precisión de sus hallazgos. Geográficamente, el estudio se centra de forma exclusiva en el departamento del Tolima, analizando la cobertura de las Cajas de Compensación Familiar con presencia en la región. Temporalmente, el análisis se delimita a los años 2022 y 2023, periodo que permite trabajar con datos consolidados y actualizados de la gestión administrativa y los indicadores sociales.</w:t>
      </w:r>
    </w:p>
    <w:p w:rsidR="009C51FB" w:rsidP="00E40328" w:rsidRDefault="000C0FAA" w14:paraId="19EE973E" w14:textId="3D1A067D">
      <w:pPr>
        <w:jc w:val="both"/>
        <w:rPr>
          <w:rFonts w:ascii="Arial" w:hAnsi="Arial" w:cs="Arial"/>
        </w:rPr>
      </w:pPr>
      <w:r w:rsidRPr="000C0FAA">
        <w:rPr>
          <w:rFonts w:ascii="Arial" w:hAnsi="Arial" w:cs="Arial"/>
        </w:rPr>
        <w:t>Desde el punto de vista técnico, la investigación se define como un estudio descriptivo basado en el contraste de fuentes secundarias oficiales. El alcance del análisis se limita a la relación entre los reportes de ejecución institucional del sistema SIGER y los indicadores de déficit habitacional proporcionados por el DANE. Por lo tanto, el estudio no contempla la realización de trabajo de campo, encuestas directas o evaluaciones de impacto de largo plazo, enfocándose estrictamente en la transformación de datos administrativos existentes en inteligencia institucional para la supervisión técnica.</w:t>
      </w:r>
    </w:p>
    <w:p w:rsidR="00E40328" w:rsidP="00E40328" w:rsidRDefault="00E40328" w14:paraId="566B6940" w14:textId="77777777">
      <w:pPr>
        <w:jc w:val="both"/>
        <w:rPr>
          <w:rFonts w:ascii="Arial" w:hAnsi="Arial" w:cs="Arial"/>
        </w:rPr>
      </w:pPr>
    </w:p>
    <w:p w:rsidR="00E40328" w:rsidP="00E40328" w:rsidRDefault="00E40328" w14:paraId="441FCA4E" w14:textId="38BA4354">
      <w:pPr>
        <w:pStyle w:val="Ttulo1"/>
        <w:rPr>
          <w:rFonts w:ascii="Arial" w:hAnsi="Arial" w:cs="Arial"/>
          <w:b/>
          <w:bCs/>
          <w:color w:val="auto"/>
          <w:sz w:val="22"/>
          <w:szCs w:val="22"/>
        </w:rPr>
      </w:pPr>
      <w:bookmarkStart w:name="_Toc227767714" w:id="11"/>
      <w:r w:rsidRPr="00E40328">
        <w:rPr>
          <w:rFonts w:ascii="Arial" w:hAnsi="Arial" w:cs="Arial"/>
          <w:b/>
          <w:bCs/>
          <w:color w:val="auto"/>
          <w:sz w:val="22"/>
          <w:szCs w:val="22"/>
        </w:rPr>
        <w:t>Capítulo II: Marco de Referencia</w:t>
      </w:r>
      <w:bookmarkEnd w:id="11"/>
    </w:p>
    <w:p w:rsidR="00E40328" w:rsidP="00E40328" w:rsidRDefault="00E40328" w14:paraId="2CC2E99D" w14:textId="77777777"/>
    <w:p w:rsidR="00E40328" w:rsidP="00E40328" w:rsidRDefault="00E40328" w14:paraId="3DC4CA4B" w14:textId="55FFFFD5">
      <w:pPr>
        <w:pStyle w:val="Ttulo2"/>
        <w:rPr>
          <w:rFonts w:ascii="Arial" w:hAnsi="Arial" w:cs="Arial"/>
          <w:b/>
          <w:bCs/>
          <w:color w:val="auto"/>
          <w:sz w:val="22"/>
          <w:szCs w:val="22"/>
        </w:rPr>
      </w:pPr>
      <w:bookmarkStart w:name="_Toc227767715" w:id="12"/>
      <w:r w:rsidRPr="00E40328">
        <w:rPr>
          <w:rFonts w:ascii="Arial" w:hAnsi="Arial" w:cs="Arial"/>
          <w:color w:val="auto"/>
          <w:sz w:val="22"/>
          <w:szCs w:val="22"/>
        </w:rPr>
        <w:t xml:space="preserve">2.1 </w:t>
      </w:r>
      <w:r w:rsidRPr="00E40328">
        <w:rPr>
          <w:rFonts w:ascii="Arial" w:hAnsi="Arial" w:cs="Arial"/>
          <w:b/>
          <w:bCs/>
          <w:color w:val="auto"/>
          <w:sz w:val="22"/>
          <w:szCs w:val="22"/>
        </w:rPr>
        <w:t>Estado del Arte</w:t>
      </w:r>
      <w:bookmarkEnd w:id="12"/>
    </w:p>
    <w:p w:rsidRPr="002E11A2" w:rsidR="002E11A2" w:rsidP="006B6E21" w:rsidRDefault="002E11A2" w14:paraId="178F5B8F" w14:textId="72FB695B">
      <w:pPr>
        <w:jc w:val="both"/>
        <w:rPr>
          <w:rFonts w:ascii="Arial" w:hAnsi="Arial" w:cs="Arial"/>
        </w:rPr>
      </w:pPr>
      <w:r w:rsidRPr="002E11A2">
        <w:rPr>
          <w:rFonts w:ascii="Arial" w:hAnsi="Arial" w:cs="Arial"/>
        </w:rPr>
        <w:t>La revisión de antecedentes para la presente investigación permite identificar que el estudio de los subsidios de vivienda en Colombia ha sido abordado mayoritariamente desde una perspectiva macroeconómica y de cumplimiento de metas nacionales. Informes de organismos como la Contraloría General de la República y la misma Superintendencia del Subsidio Familiar han centrado su análisis en la ejecución presupuestal y la eficiencia administrativa de las Cajas de Compensación.</w:t>
      </w:r>
    </w:p>
    <w:p w:rsidR="002E11A2" w:rsidP="006B6E21" w:rsidRDefault="002E11A2" w14:paraId="5EF09AC3" w14:textId="4F6E0A13">
      <w:pPr>
        <w:jc w:val="both"/>
        <w:rPr>
          <w:rFonts w:ascii="Arial" w:hAnsi="Arial" w:cs="Arial"/>
        </w:rPr>
      </w:pPr>
      <w:r w:rsidRPr="002E11A2">
        <w:rPr>
          <w:rFonts w:ascii="Arial" w:hAnsi="Arial" w:cs="Arial"/>
        </w:rPr>
        <w:t xml:space="preserve">Sin embargo, a nivel regional en el departamento del Tolima, se observa un vacío en investigaciones que crucen la ejecución del gasto con variables sociodemográficas y territoriales actualizadas. Estudios previos sobre el déficit habitacional en la región, realizados principalmente por observatorios económicos locales, señalan </w:t>
      </w:r>
      <w:r w:rsidRPr="002E11A2">
        <w:rPr>
          <w:rFonts w:ascii="Arial" w:hAnsi="Arial" w:cs="Arial"/>
        </w:rPr>
        <w:t>que,</w:t>
      </w:r>
      <w:r w:rsidRPr="002E11A2">
        <w:rPr>
          <w:rFonts w:ascii="Arial" w:hAnsi="Arial" w:cs="Arial"/>
        </w:rPr>
        <w:t xml:space="preserve"> si bien la oferta inmobiliaria ha crecido, esta se encuentra altamente concentrada en el área metropolitana de Ibagué. Este estudio se diferencia de los antecedentes al proponer una integración técnica entre los datos operativos del sistema SIGER y los indicadores de demanda potencial del DANE, aportando una visión de georreferenciación administrativa que no ha sido explorada en los reportes de supervisión tradicionales de la región.</w:t>
      </w:r>
    </w:p>
    <w:p w:rsidR="002E11A2" w:rsidP="002E11A2" w:rsidRDefault="002E11A2" w14:paraId="544A779E" w14:textId="77777777">
      <w:pPr>
        <w:rPr>
          <w:rFonts w:ascii="Arial" w:hAnsi="Arial" w:cs="Arial"/>
        </w:rPr>
      </w:pPr>
    </w:p>
    <w:p w:rsidR="002E11A2" w:rsidP="002E11A2" w:rsidRDefault="002E11A2" w14:paraId="6778A43F" w14:textId="77777777">
      <w:pPr>
        <w:rPr>
          <w:rFonts w:ascii="Arial" w:hAnsi="Arial" w:cs="Arial"/>
        </w:rPr>
      </w:pPr>
      <w:r w:rsidRPr="002E11A2">
        <w:rPr>
          <w:rFonts w:ascii="Arial" w:hAnsi="Arial" w:cs="Arial"/>
        </w:rPr>
        <w:t xml:space="preserve">2.2 </w:t>
      </w:r>
      <w:r w:rsidRPr="002E11A2">
        <w:rPr>
          <w:rFonts w:ascii="Arial" w:hAnsi="Arial" w:cs="Arial"/>
          <w:b/>
          <w:bCs/>
        </w:rPr>
        <w:t>Marco Teórico</w:t>
      </w:r>
    </w:p>
    <w:p w:rsidRPr="002E11A2" w:rsidR="002E11A2" w:rsidP="006B6E21" w:rsidRDefault="002E11A2" w14:paraId="6EC9AAA8" w14:textId="3A3A3E66">
      <w:pPr>
        <w:jc w:val="both"/>
        <w:rPr>
          <w:rFonts w:ascii="Arial" w:hAnsi="Arial" w:cs="Arial"/>
        </w:rPr>
      </w:pPr>
      <w:r w:rsidRPr="002E11A2">
        <w:rPr>
          <w:rFonts w:ascii="Arial" w:hAnsi="Arial" w:cs="Arial"/>
        </w:rPr>
        <w:t xml:space="preserve">La investigación se fundamenta en la Teoría de la Focalización del Gasto Público Social, la cual establece que la eficiencia de los recursos estatales depende de su correcta asignación hacia las poblaciones con mayores carencias. Bajo este enfoque, la entrega de subsidios no debe ser un proceso aleatorio o puramente administrativo, sino una acción dirigida a mitigar el déficit habitacional donde este es más crítico. Complementariamente, el estudio se apoya en la Gestión Pública orientada a Resultados, modelo que exige trascender el </w:t>
      </w:r>
      <w:r w:rsidRPr="002E11A2">
        <w:rPr>
          <w:rFonts w:ascii="Arial" w:hAnsi="Arial" w:cs="Arial"/>
        </w:rPr>
        <w:t>control presupuestal básico para evaluar el impacto real de la inversión; esto justifica la necesidad de contrastar la ejecución contable del SIGER con indicadores de bienestar social.</w:t>
      </w:r>
    </w:p>
    <w:p w:rsidR="002E11A2" w:rsidP="006B6E21" w:rsidRDefault="002E11A2" w14:paraId="49A4D7EE" w14:textId="77777777">
      <w:pPr>
        <w:jc w:val="both"/>
        <w:rPr>
          <w:rFonts w:ascii="Arial" w:hAnsi="Arial" w:cs="Arial"/>
        </w:rPr>
      </w:pPr>
      <w:r w:rsidRPr="002E11A2">
        <w:rPr>
          <w:rFonts w:ascii="Arial" w:hAnsi="Arial" w:cs="Arial"/>
        </w:rPr>
        <w:t>Finalmente, se integra el principio de Equidad Territorial, el cual sostiene que el acceso a los beneficios de la seguridad social debe ser equitativo en todo el departamento. Esta base teórica permite analizar si la concentración de recursos en polos urbanos como Ibagué responde a una lógica de eficiencia o si representa una falla en la distribución del gasto social, sustentando así el paso de una vigilancia de procesos a una vigilancia de pertinencia geográfica en el Tolima.</w:t>
      </w:r>
    </w:p>
    <w:p w:rsidR="002E11A2" w:rsidP="002E11A2" w:rsidRDefault="002E11A2" w14:paraId="6F0F9473" w14:textId="77777777">
      <w:pPr>
        <w:rPr>
          <w:rFonts w:ascii="Arial" w:hAnsi="Arial" w:cs="Arial"/>
        </w:rPr>
      </w:pPr>
    </w:p>
    <w:p w:rsidR="002E11A2" w:rsidP="002E11A2" w:rsidRDefault="002E11A2" w14:paraId="11F62BEE" w14:textId="5333CCB7">
      <w:pPr>
        <w:pStyle w:val="Ttulo2"/>
        <w:rPr>
          <w:rFonts w:ascii="Arial" w:hAnsi="Arial" w:cs="Arial"/>
          <w:b/>
          <w:bCs/>
          <w:color w:val="auto"/>
          <w:sz w:val="22"/>
          <w:szCs w:val="22"/>
        </w:rPr>
      </w:pPr>
      <w:bookmarkStart w:name="_Toc227767716" w:id="13"/>
      <w:r w:rsidRPr="002E11A2">
        <w:rPr>
          <w:rFonts w:ascii="Arial" w:hAnsi="Arial" w:cs="Arial"/>
          <w:color w:val="auto"/>
          <w:sz w:val="22"/>
          <w:szCs w:val="22"/>
        </w:rPr>
        <w:t xml:space="preserve">2.3 </w:t>
      </w:r>
      <w:r w:rsidRPr="002E11A2">
        <w:rPr>
          <w:rFonts w:ascii="Arial" w:hAnsi="Arial" w:cs="Arial"/>
          <w:b/>
          <w:bCs/>
          <w:color w:val="auto"/>
          <w:sz w:val="22"/>
          <w:szCs w:val="22"/>
        </w:rPr>
        <w:t>Marco Conceptual</w:t>
      </w:r>
      <w:bookmarkEnd w:id="13"/>
    </w:p>
    <w:p w:rsidR="002E11A2" w:rsidP="006B6E21" w:rsidRDefault="002E11A2" w14:paraId="32D0E04D" w14:textId="6444C06C">
      <w:pPr>
        <w:jc w:val="both"/>
        <w:rPr>
          <w:rFonts w:ascii="Arial" w:hAnsi="Arial" w:cs="Arial"/>
        </w:rPr>
      </w:pPr>
      <w:r w:rsidRPr="002E11A2">
        <w:rPr>
          <w:rFonts w:ascii="Arial" w:hAnsi="Arial" w:cs="Arial"/>
        </w:rPr>
        <w:t>Para garantizar la precisión técnica de la investigación, se establecen las siguientes definiciones base:</w:t>
      </w:r>
    </w:p>
    <w:p w:rsidR="002E11A2" w:rsidP="006B6E21" w:rsidRDefault="002E11A2" w14:paraId="418375D0" w14:textId="59E27A14">
      <w:pPr>
        <w:pStyle w:val="Prrafodelista"/>
        <w:numPr>
          <w:ilvl w:val="0"/>
          <w:numId w:val="1"/>
        </w:numPr>
        <w:jc w:val="both"/>
        <w:rPr>
          <w:rFonts w:ascii="Arial" w:hAnsi="Arial" w:cs="Arial"/>
        </w:rPr>
      </w:pPr>
      <w:r>
        <w:rPr>
          <w:rFonts w:ascii="Arial" w:hAnsi="Arial" w:cs="Arial"/>
        </w:rPr>
        <w:t xml:space="preserve">Fondo de Vivienda de Interés Social (FOVIS): </w:t>
      </w:r>
      <w:r w:rsidRPr="002E11A2">
        <w:rPr>
          <w:rFonts w:ascii="Arial" w:hAnsi="Arial" w:cs="Arial"/>
        </w:rPr>
        <w:t>Cuenta especial administrada por las Cajas de Compensación Familiar, constituida por aportes parafiscales para asignar subsidios familiares de vivienda en dinero o especie.</w:t>
      </w:r>
    </w:p>
    <w:p w:rsidR="00FF1B29" w:rsidP="006B6E21" w:rsidRDefault="00FF1B29" w14:paraId="1A782FEC" w14:textId="77777777">
      <w:pPr>
        <w:pStyle w:val="Prrafodelista"/>
        <w:jc w:val="both"/>
        <w:rPr>
          <w:rFonts w:ascii="Arial" w:hAnsi="Arial" w:cs="Arial"/>
        </w:rPr>
      </w:pPr>
    </w:p>
    <w:p w:rsidRPr="00FF1B29" w:rsidR="00FF1B29" w:rsidP="006B6E21" w:rsidRDefault="002E11A2" w14:paraId="7F4FF8AA" w14:textId="0BB500B8">
      <w:pPr>
        <w:pStyle w:val="Prrafodelista"/>
        <w:numPr>
          <w:ilvl w:val="0"/>
          <w:numId w:val="1"/>
        </w:numPr>
        <w:jc w:val="both"/>
        <w:rPr>
          <w:rFonts w:ascii="Arial" w:hAnsi="Arial" w:cs="Arial"/>
        </w:rPr>
      </w:pPr>
      <w:r>
        <w:rPr>
          <w:rFonts w:ascii="Arial" w:hAnsi="Arial" w:cs="Arial"/>
        </w:rPr>
        <w:t xml:space="preserve">Déficit Habitacional: </w:t>
      </w:r>
      <w:r w:rsidRPr="002E11A2">
        <w:rPr>
          <w:rFonts w:ascii="Arial" w:hAnsi="Arial" w:cs="Arial"/>
        </w:rPr>
        <w:t>Medida que cuantifica las necesidades de vivienda de la población. Se divide en cuantitativo (falta de viviendas físicas) y cualitativo (viviendas con deficiencias en estructura o servicios), según la metodología del DANE.</w:t>
      </w:r>
    </w:p>
    <w:p w:rsidR="00FF1B29" w:rsidP="006B6E21" w:rsidRDefault="00FF1B29" w14:paraId="3337D0BF" w14:textId="77777777">
      <w:pPr>
        <w:pStyle w:val="Prrafodelista"/>
        <w:jc w:val="both"/>
        <w:rPr>
          <w:rFonts w:ascii="Arial" w:hAnsi="Arial" w:cs="Arial"/>
        </w:rPr>
      </w:pPr>
    </w:p>
    <w:p w:rsidR="002E11A2" w:rsidP="006B6E21" w:rsidRDefault="00FF1B29" w14:paraId="15486148" w14:textId="22B2CF89">
      <w:pPr>
        <w:pStyle w:val="Prrafodelista"/>
        <w:numPr>
          <w:ilvl w:val="0"/>
          <w:numId w:val="1"/>
        </w:numPr>
        <w:jc w:val="both"/>
        <w:rPr>
          <w:rFonts w:ascii="Arial" w:hAnsi="Arial" w:cs="Arial"/>
        </w:rPr>
      </w:pPr>
      <w:r>
        <w:rPr>
          <w:rFonts w:ascii="Arial" w:hAnsi="Arial" w:cs="Arial"/>
        </w:rPr>
        <w:t xml:space="preserve">Demanda Potencial: </w:t>
      </w:r>
      <w:r w:rsidRPr="00FF1B29">
        <w:rPr>
          <w:rFonts w:ascii="Arial" w:hAnsi="Arial" w:cs="Arial"/>
        </w:rPr>
        <w:t xml:space="preserve">Población que, cumpliendo con los requisitos de ley y niveles de ingresos, requiere el subsidio de </w:t>
      </w:r>
      <w:r w:rsidRPr="00FF1B29">
        <w:rPr>
          <w:rFonts w:ascii="Arial" w:hAnsi="Arial" w:cs="Arial"/>
        </w:rPr>
        <w:t>vivienda,</w:t>
      </w:r>
      <w:r w:rsidRPr="00FF1B29">
        <w:rPr>
          <w:rFonts w:ascii="Arial" w:hAnsi="Arial" w:cs="Arial"/>
        </w:rPr>
        <w:t xml:space="preserve"> pero aún no ha sido beneficiada en su territorio.</w:t>
      </w:r>
    </w:p>
    <w:p w:rsidR="00FF1B29" w:rsidP="006B6E21" w:rsidRDefault="00FF1B29" w14:paraId="5511302B" w14:textId="77777777">
      <w:pPr>
        <w:pStyle w:val="Prrafodelista"/>
        <w:jc w:val="both"/>
        <w:rPr>
          <w:rFonts w:ascii="Arial" w:hAnsi="Arial" w:cs="Arial"/>
        </w:rPr>
      </w:pPr>
    </w:p>
    <w:p w:rsidR="00FF1B29" w:rsidP="006B6E21" w:rsidRDefault="00FF1B29" w14:paraId="1A4CD417" w14:textId="6069FEFF">
      <w:pPr>
        <w:pStyle w:val="Prrafodelista"/>
        <w:numPr>
          <w:ilvl w:val="0"/>
          <w:numId w:val="1"/>
        </w:numPr>
        <w:jc w:val="both"/>
        <w:rPr>
          <w:rFonts w:ascii="Arial" w:hAnsi="Arial" w:cs="Arial"/>
        </w:rPr>
      </w:pPr>
      <w:r>
        <w:rPr>
          <w:rFonts w:ascii="Arial" w:hAnsi="Arial" w:cs="Arial"/>
        </w:rPr>
        <w:t xml:space="preserve">Sistema SIGER: </w:t>
      </w:r>
      <w:r w:rsidRPr="00FF1B29">
        <w:rPr>
          <w:rFonts w:ascii="Arial" w:hAnsi="Arial" w:cs="Arial"/>
        </w:rPr>
        <w:t>Plataforma oficial de la Superintendencia del Subsidio Familiar utilizada para el reporte, seguimiento y control de la ejecución presupuestal y operativa de los recursos por parte de las Cajas.</w:t>
      </w:r>
    </w:p>
    <w:p w:rsidRPr="00FF1B29" w:rsidR="00FF1B29" w:rsidP="006B6E21" w:rsidRDefault="00FF1B29" w14:paraId="40316F55" w14:textId="77777777">
      <w:pPr>
        <w:pStyle w:val="Prrafodelista"/>
        <w:jc w:val="both"/>
        <w:rPr>
          <w:rFonts w:ascii="Arial" w:hAnsi="Arial" w:cs="Arial"/>
        </w:rPr>
      </w:pPr>
    </w:p>
    <w:p w:rsidR="00FF1B29" w:rsidP="006B6E21" w:rsidRDefault="00FF1B29" w14:paraId="35F2D711" w14:textId="7182F57E">
      <w:pPr>
        <w:pStyle w:val="Prrafodelista"/>
        <w:numPr>
          <w:ilvl w:val="0"/>
          <w:numId w:val="1"/>
        </w:numPr>
        <w:jc w:val="both"/>
        <w:rPr>
          <w:rFonts w:ascii="Arial" w:hAnsi="Arial" w:cs="Arial"/>
        </w:rPr>
      </w:pPr>
      <w:r>
        <w:rPr>
          <w:rFonts w:ascii="Arial" w:hAnsi="Arial" w:cs="Arial"/>
        </w:rPr>
        <w:t xml:space="preserve">Pertinencia Territorial: </w:t>
      </w:r>
      <w:r w:rsidRPr="00FF1B29">
        <w:rPr>
          <w:rFonts w:ascii="Arial" w:hAnsi="Arial" w:cs="Arial"/>
        </w:rPr>
        <w:t>Grado de correspondencia entre la ubicación geográfica de los recursos asignados y las zonas que registran las mayores carencias sociales y necesidades de vivienda.</w:t>
      </w:r>
    </w:p>
    <w:p w:rsidRPr="00FF1B29" w:rsidR="00FF1B29" w:rsidP="006B6E21" w:rsidRDefault="00FF1B29" w14:paraId="18B09A51" w14:textId="77777777">
      <w:pPr>
        <w:pStyle w:val="Prrafodelista"/>
        <w:jc w:val="both"/>
        <w:rPr>
          <w:rFonts w:ascii="Arial" w:hAnsi="Arial" w:cs="Arial"/>
        </w:rPr>
      </w:pPr>
    </w:p>
    <w:p w:rsidR="00FF1B29" w:rsidP="006B6E21" w:rsidRDefault="00FF1B29" w14:paraId="31655D14" w14:textId="4AF7F15C">
      <w:pPr>
        <w:pStyle w:val="Prrafodelista"/>
        <w:numPr>
          <w:ilvl w:val="0"/>
          <w:numId w:val="1"/>
        </w:numPr>
        <w:jc w:val="both"/>
        <w:rPr>
          <w:rFonts w:ascii="Arial" w:hAnsi="Arial" w:cs="Arial"/>
        </w:rPr>
      </w:pPr>
      <w:r w:rsidRPr="7F82D8FF" w:rsidR="00FF1B29">
        <w:rPr>
          <w:rFonts w:ascii="Arial" w:hAnsi="Arial" w:cs="Arial"/>
        </w:rPr>
        <w:t>Cobertura Efectiva: R</w:t>
      </w:r>
      <w:r w:rsidRPr="7F82D8FF" w:rsidR="00FF1B29">
        <w:rPr>
          <w:rFonts w:ascii="Arial" w:hAnsi="Arial" w:cs="Arial"/>
        </w:rPr>
        <w:t xml:space="preserve">elación porcentual entre el número de subsidios entregados y la población </w:t>
      </w:r>
      <w:r w:rsidRPr="7F82D8FF" w:rsidR="7F845624">
        <w:rPr>
          <w:rFonts w:ascii="Arial" w:hAnsi="Arial" w:cs="Arial"/>
        </w:rPr>
        <w:t>objetivo-identificada</w:t>
      </w:r>
      <w:r w:rsidRPr="7F82D8FF" w:rsidR="00FF1B29">
        <w:rPr>
          <w:rFonts w:ascii="Arial" w:hAnsi="Arial" w:cs="Arial"/>
        </w:rPr>
        <w:t xml:space="preserve"> en los municipios del departamento.</w:t>
      </w:r>
    </w:p>
    <w:p w:rsidRPr="00FF1B29" w:rsidR="00FF1B29" w:rsidP="00FF1B29" w:rsidRDefault="00FF1B29" w14:paraId="5D2CF2D1" w14:textId="77777777">
      <w:pPr>
        <w:pStyle w:val="Prrafodelista"/>
        <w:rPr>
          <w:rFonts w:ascii="Arial" w:hAnsi="Arial" w:cs="Arial"/>
        </w:rPr>
      </w:pPr>
    </w:p>
    <w:p w:rsidR="00E40328" w:rsidP="00FF1B29" w:rsidRDefault="00FF1B29" w14:paraId="0799F268" w14:textId="1F9B0DAD">
      <w:pPr>
        <w:pStyle w:val="Ttulo2"/>
        <w:rPr>
          <w:rFonts w:ascii="Arial" w:hAnsi="Arial" w:cs="Arial"/>
          <w:b/>
          <w:bCs/>
          <w:color w:val="auto"/>
          <w:sz w:val="22"/>
          <w:szCs w:val="22"/>
        </w:rPr>
      </w:pPr>
      <w:bookmarkStart w:name="_Toc227767717" w:id="14"/>
      <w:r w:rsidRPr="00FF1B29">
        <w:rPr>
          <w:rFonts w:ascii="Arial" w:hAnsi="Arial" w:cs="Arial"/>
          <w:color w:val="auto"/>
          <w:sz w:val="22"/>
          <w:szCs w:val="22"/>
        </w:rPr>
        <w:t xml:space="preserve">2.4 </w:t>
      </w:r>
      <w:r w:rsidRPr="00FF1B29">
        <w:rPr>
          <w:rFonts w:ascii="Arial" w:hAnsi="Arial" w:cs="Arial"/>
          <w:b/>
          <w:bCs/>
          <w:color w:val="auto"/>
          <w:sz w:val="22"/>
          <w:szCs w:val="22"/>
        </w:rPr>
        <w:t>Marco Normativo</w:t>
      </w:r>
      <w:bookmarkEnd w:id="14"/>
    </w:p>
    <w:p w:rsidR="00FF1B29" w:rsidP="00FF1B29" w:rsidRDefault="00FF1B29" w14:paraId="343CA887" w14:textId="79FB2B59"/>
    <w:p w:rsidR="00FF1B29" w:rsidP="006B6E21" w:rsidRDefault="00FF1B29" w14:paraId="26A37BEB" w14:textId="38595FE6">
      <w:pPr>
        <w:pStyle w:val="Prrafodelista"/>
        <w:numPr>
          <w:ilvl w:val="0"/>
          <w:numId w:val="1"/>
        </w:numPr>
        <w:jc w:val="both"/>
        <w:rPr>
          <w:rFonts w:ascii="Arial" w:hAnsi="Arial" w:cs="Arial"/>
        </w:rPr>
      </w:pPr>
      <w:r w:rsidRPr="00FF1B29">
        <w:rPr>
          <w:rFonts w:ascii="Arial" w:hAnsi="Arial" w:cs="Arial"/>
        </w:rPr>
        <w:t xml:space="preserve">Ley 49 de 1990: </w:t>
      </w:r>
      <w:r w:rsidRPr="00FF1B29">
        <w:rPr>
          <w:rFonts w:ascii="Arial" w:hAnsi="Arial" w:cs="Arial"/>
        </w:rPr>
        <w:t>Establece la creación de los Fondos de Vivienda de Interés Social (FOVIS) y obliga a las Cajas de Compensación Familiar a destinar un porcentaje de sus aportes parafiscales para el subsidio familiar de vivienda.</w:t>
      </w:r>
    </w:p>
    <w:p w:rsidR="00FF1B29" w:rsidP="006B6E21" w:rsidRDefault="00FF1B29" w14:paraId="33E530A1" w14:textId="77777777">
      <w:pPr>
        <w:pStyle w:val="Prrafodelista"/>
        <w:jc w:val="both"/>
        <w:rPr>
          <w:rFonts w:ascii="Arial" w:hAnsi="Arial" w:cs="Arial"/>
        </w:rPr>
      </w:pPr>
    </w:p>
    <w:p w:rsidR="00FF1B29" w:rsidP="006B6E21" w:rsidRDefault="00FF1B29" w14:paraId="2E9CEA67" w14:textId="2AF1DC18">
      <w:pPr>
        <w:pStyle w:val="Prrafodelista"/>
        <w:numPr>
          <w:ilvl w:val="0"/>
          <w:numId w:val="1"/>
        </w:numPr>
        <w:jc w:val="both"/>
        <w:rPr>
          <w:rFonts w:ascii="Arial" w:hAnsi="Arial" w:cs="Arial"/>
        </w:rPr>
      </w:pPr>
      <w:r w:rsidRPr="000738C6">
        <w:rPr>
          <w:rFonts w:ascii="Arial" w:hAnsi="Arial" w:cs="Arial"/>
        </w:rPr>
        <w:t xml:space="preserve">Ley 633 de 2000: </w:t>
      </w:r>
      <w:r w:rsidRPr="000738C6">
        <w:rPr>
          <w:rFonts w:ascii="Arial" w:hAnsi="Arial" w:cs="Arial"/>
        </w:rPr>
        <w:t>Define las competencias de la Superintendencia del Subsidio Familiar para ejercer el control, inspección y vigilancia sobre la correcta ejecución de estos recursos.</w:t>
      </w:r>
    </w:p>
    <w:p w:rsidR="000738C6" w:rsidP="006B6E21" w:rsidRDefault="000738C6" w14:paraId="2881B1CE" w14:textId="77777777">
      <w:pPr>
        <w:pStyle w:val="Prrafodelista"/>
        <w:jc w:val="both"/>
        <w:rPr>
          <w:rFonts w:ascii="Arial" w:hAnsi="Arial" w:cs="Arial"/>
        </w:rPr>
      </w:pPr>
    </w:p>
    <w:p w:rsidR="000738C6" w:rsidP="006B6E21" w:rsidRDefault="000738C6" w14:paraId="7902229A" w14:textId="5C8FE3C3">
      <w:pPr>
        <w:pStyle w:val="Prrafodelista"/>
        <w:numPr>
          <w:ilvl w:val="0"/>
          <w:numId w:val="1"/>
        </w:numPr>
        <w:jc w:val="both"/>
        <w:rPr>
          <w:rFonts w:ascii="Arial" w:hAnsi="Arial" w:cs="Arial"/>
        </w:rPr>
      </w:pPr>
      <w:r>
        <w:rPr>
          <w:rFonts w:ascii="Arial" w:hAnsi="Arial" w:cs="Arial"/>
        </w:rPr>
        <w:t xml:space="preserve">Ley 1537 de 2012: </w:t>
      </w:r>
      <w:r w:rsidRPr="000738C6">
        <w:rPr>
          <w:rFonts w:ascii="Arial" w:hAnsi="Arial" w:cs="Arial"/>
        </w:rPr>
        <w:t>Dicta normas tendientes a facilitar y promover el desarrollo urbano y el acceso a la vivienda, estableciendo la responsabilidad de las entidades territoriales y las Cajas en la reducción del déficit habitacional.</w:t>
      </w:r>
    </w:p>
    <w:p w:rsidRPr="000738C6" w:rsidR="000738C6" w:rsidP="006B6E21" w:rsidRDefault="000738C6" w14:paraId="7728B890" w14:textId="77777777">
      <w:pPr>
        <w:pStyle w:val="Prrafodelista"/>
        <w:jc w:val="both"/>
        <w:rPr>
          <w:rFonts w:ascii="Arial" w:hAnsi="Arial" w:cs="Arial"/>
        </w:rPr>
      </w:pPr>
    </w:p>
    <w:p w:rsidR="000738C6" w:rsidP="006B6E21" w:rsidRDefault="000738C6" w14:paraId="146EBBD6" w14:textId="2E0D32A1">
      <w:pPr>
        <w:pStyle w:val="Prrafodelista"/>
        <w:numPr>
          <w:ilvl w:val="0"/>
          <w:numId w:val="1"/>
        </w:numPr>
        <w:jc w:val="both"/>
        <w:rPr>
          <w:rFonts w:ascii="Arial" w:hAnsi="Arial" w:cs="Arial"/>
        </w:rPr>
      </w:pPr>
      <w:r>
        <w:rPr>
          <w:rFonts w:ascii="Arial" w:hAnsi="Arial" w:cs="Arial"/>
        </w:rPr>
        <w:t xml:space="preserve">Resoluciones vigentes de la Superintendencia de Subsidio Familiar: </w:t>
      </w:r>
      <w:r w:rsidRPr="000738C6">
        <w:rPr>
          <w:rFonts w:ascii="Arial" w:hAnsi="Arial" w:cs="Arial"/>
        </w:rPr>
        <w:t>Normas técnicas que regulan el reporte de información a través del sistema SIGER, estableciendo los plazos y formatos obligatorios para la rendición de cuentas de las Cajas.</w:t>
      </w:r>
    </w:p>
    <w:p w:rsidRPr="000738C6" w:rsidR="000738C6" w:rsidP="000738C6" w:rsidRDefault="000738C6" w14:paraId="0457D120" w14:textId="77777777">
      <w:pPr>
        <w:pStyle w:val="Prrafodelista"/>
        <w:rPr>
          <w:rFonts w:ascii="Arial" w:hAnsi="Arial" w:cs="Arial"/>
        </w:rPr>
      </w:pPr>
    </w:p>
    <w:p w:rsidR="000738C6" w:rsidP="000738C6" w:rsidRDefault="000738C6" w14:paraId="4ED60A59" w14:textId="516850F3">
      <w:pPr>
        <w:pStyle w:val="Ttulo2"/>
        <w:rPr>
          <w:rFonts w:ascii="Arial" w:hAnsi="Arial" w:cs="Arial"/>
          <w:b/>
          <w:bCs/>
          <w:color w:val="auto"/>
          <w:sz w:val="22"/>
          <w:szCs w:val="22"/>
        </w:rPr>
      </w:pPr>
      <w:bookmarkStart w:name="_Toc227767718" w:id="15"/>
      <w:r w:rsidRPr="000738C6">
        <w:rPr>
          <w:rFonts w:ascii="Arial" w:hAnsi="Arial" w:cs="Arial"/>
          <w:color w:val="auto"/>
          <w:sz w:val="22"/>
          <w:szCs w:val="22"/>
        </w:rPr>
        <w:t xml:space="preserve">2.5 </w:t>
      </w:r>
      <w:r w:rsidRPr="000738C6">
        <w:rPr>
          <w:rFonts w:ascii="Arial" w:hAnsi="Arial" w:cs="Arial"/>
          <w:b/>
          <w:bCs/>
          <w:color w:val="auto"/>
          <w:sz w:val="22"/>
          <w:szCs w:val="22"/>
        </w:rPr>
        <w:t>Marco Contextual</w:t>
      </w:r>
      <w:bookmarkEnd w:id="15"/>
    </w:p>
    <w:p w:rsidRPr="000738C6" w:rsidR="000738C6" w:rsidP="006B6E21" w:rsidRDefault="000738C6" w14:paraId="3D309309" w14:textId="77777777">
      <w:pPr>
        <w:jc w:val="both"/>
        <w:rPr>
          <w:rFonts w:ascii="Arial" w:hAnsi="Arial" w:cs="Arial"/>
        </w:rPr>
      </w:pPr>
      <w:r w:rsidRPr="000738C6">
        <w:rPr>
          <w:rFonts w:ascii="Arial" w:hAnsi="Arial" w:cs="Arial"/>
        </w:rPr>
        <w:t>La investigación se desarrolla en el departamento del Tolima, una región del centro-occidente de Colombia caracterizada por una composición geográfica de 47 municipios con diversas realidades socioeconómicas. El departamento presenta un sistema de ciudades liderado por su capital, Ibagué, la cual concentra la mayor parte de la actividad económica y del mercado inmobiliario regional. Sin embargo, esta dinámica urbana contrasta con las zonas rurales y los municipios de menor categoría, donde el acceso a soluciones de vivienda formal es limitado y los índices de pobreza multidimensional inciden directamente en el déficit habitacional.</w:t>
      </w:r>
    </w:p>
    <w:p w:rsidR="000738C6" w:rsidP="006B6E21" w:rsidRDefault="000738C6" w14:paraId="53CD84AB" w14:textId="2FFDF308">
      <w:pPr>
        <w:jc w:val="both"/>
        <w:rPr>
          <w:rFonts w:ascii="Arial" w:hAnsi="Arial" w:cs="Arial"/>
        </w:rPr>
      </w:pPr>
      <w:r w:rsidRPr="000738C6">
        <w:rPr>
          <w:rFonts w:ascii="Arial" w:hAnsi="Arial" w:cs="Arial"/>
        </w:rPr>
        <w:t>En este escenario, la operación de los subsidios FOVIS es responsabilidad de las Cajas de Compensación Familiar con presencia en el departamento, principalmente Comfatolima y Cafasur, junto con la participación de cajas del orden nacional que tienen cobertura en la región. Estas entidades actúan como los brazos ejecutores de la política de vivienda para la población afiliada. La vigilancia de estos recursos se realiza desde la Superintendencia del Subsidio Familiar, la cual utiliza el sistema SIGER para monitorear la gestión de estos fondos en un territorio donde la demanda de vivienda no es uniforme y requiere un análisis diferenciado entre las cabeceras municipales y las zonas de periferia</w:t>
      </w:r>
      <w:r>
        <w:rPr>
          <w:rFonts w:ascii="Arial" w:hAnsi="Arial" w:cs="Arial"/>
        </w:rPr>
        <w:t>.</w:t>
      </w:r>
    </w:p>
    <w:p w:rsidR="000738C6" w:rsidP="000738C6" w:rsidRDefault="000738C6" w14:paraId="7D85F02B" w14:textId="77777777">
      <w:pPr>
        <w:rPr>
          <w:rFonts w:ascii="Arial" w:hAnsi="Arial" w:cs="Arial"/>
        </w:rPr>
      </w:pPr>
    </w:p>
    <w:p w:rsidR="000738C6" w:rsidP="000738C6" w:rsidRDefault="000738C6" w14:paraId="511D32D9" w14:textId="43B23828">
      <w:pPr>
        <w:pStyle w:val="Ttulo1"/>
        <w:rPr>
          <w:rFonts w:ascii="Arial" w:hAnsi="Arial" w:cs="Arial"/>
          <w:b/>
          <w:bCs/>
          <w:color w:val="auto"/>
          <w:sz w:val="22"/>
          <w:szCs w:val="22"/>
        </w:rPr>
      </w:pPr>
      <w:bookmarkStart w:name="_Toc227767719" w:id="16"/>
      <w:r w:rsidRPr="000738C6">
        <w:rPr>
          <w:rFonts w:ascii="Arial" w:hAnsi="Arial" w:cs="Arial"/>
          <w:b/>
          <w:bCs/>
          <w:color w:val="auto"/>
          <w:sz w:val="22"/>
          <w:szCs w:val="22"/>
        </w:rPr>
        <w:t>Referencias Bibliográficas</w:t>
      </w:r>
      <w:bookmarkEnd w:id="16"/>
      <w:r w:rsidRPr="000738C6">
        <w:rPr>
          <w:rFonts w:ascii="Arial" w:hAnsi="Arial" w:cs="Arial"/>
          <w:b/>
          <w:bCs/>
          <w:color w:val="auto"/>
          <w:sz w:val="22"/>
          <w:szCs w:val="22"/>
        </w:rPr>
        <w:t xml:space="preserve"> </w:t>
      </w:r>
    </w:p>
    <w:p w:rsidR="006B6E21" w:rsidP="006B6E21" w:rsidRDefault="006B6E21" w14:paraId="03A4036B" w14:textId="77777777"/>
    <w:p w:rsidRPr="006B6E21" w:rsidR="000738C6" w:rsidP="006B6E21" w:rsidRDefault="006B6E21" w14:paraId="04986163" w14:textId="386C0577">
      <w:pPr>
        <w:jc w:val="both"/>
        <w:rPr>
          <w:rFonts w:ascii="Arial" w:hAnsi="Arial" w:cs="Arial"/>
          <w:i/>
          <w:iCs/>
        </w:rPr>
      </w:pPr>
      <w:r w:rsidRPr="006B6E21">
        <w:rPr>
          <w:rFonts w:ascii="Arial" w:hAnsi="Arial" w:cs="Arial"/>
          <w:i/>
          <w:iCs/>
        </w:rPr>
        <w:t>Arrieta, G. (2021). Desafíos de la focalización del gasto público en programas de vivienda social en Colombia. Revista de Economía Institucional, 23(45), 112-135.</w:t>
      </w:r>
    </w:p>
    <w:p w:rsidRPr="006B6E21" w:rsidR="006B6E21" w:rsidP="006B6E21" w:rsidRDefault="006B6E21" w14:paraId="25F29013" w14:textId="06706173">
      <w:pPr>
        <w:jc w:val="both"/>
        <w:rPr>
          <w:rFonts w:ascii="Arial" w:hAnsi="Arial" w:cs="Arial"/>
          <w:i/>
          <w:iCs/>
        </w:rPr>
      </w:pPr>
      <w:r w:rsidRPr="006B6E21">
        <w:rPr>
          <w:rFonts w:ascii="Arial" w:hAnsi="Arial" w:cs="Arial"/>
          <w:i/>
          <w:iCs/>
        </w:rPr>
        <w:t>C</w:t>
      </w:r>
      <w:r w:rsidRPr="006B6E21">
        <w:rPr>
          <w:rFonts w:ascii="Arial" w:hAnsi="Arial" w:cs="Arial"/>
          <w:i/>
          <w:iCs/>
        </w:rPr>
        <w:t>ongreso de la República de Colombia. (1990, 28 de diciembre). Ley 49 de 1990. Por la cual se reglamenta la repatriación de capitales, se estimula el mercado de capitales, se dictan normas sobre el sector financiero y de seguros, se crean los Fondos de Vivienda de Interés Social y se dictan otras disposiciones. Diario Oficial No. 39.615.</w:t>
      </w:r>
    </w:p>
    <w:p w:rsidRPr="006B6E21" w:rsidR="006B6E21" w:rsidP="006B6E21" w:rsidRDefault="006B6E21" w14:paraId="4B8308B3" w14:textId="6B17ECAC">
      <w:pPr>
        <w:jc w:val="both"/>
        <w:rPr>
          <w:rFonts w:ascii="Arial" w:hAnsi="Arial" w:cs="Arial"/>
          <w:i/>
          <w:iCs/>
        </w:rPr>
      </w:pPr>
      <w:r w:rsidRPr="006B6E21">
        <w:rPr>
          <w:rFonts w:ascii="Arial" w:hAnsi="Arial" w:cs="Arial"/>
          <w:i/>
          <w:iCs/>
        </w:rPr>
        <w:t>Congreso de la República de Colombia. (2012, 20 de junio). Ley 1537 de 2012. Por la cual se dictan normas tendientes a facilitar y promover el desarrollo urbano y el acceso a la vivienda y se dictan otras disposiciones. Diario Oficial No. 48.467.</w:t>
      </w:r>
    </w:p>
    <w:p w:rsidRPr="006B6E21" w:rsidR="006B6E21" w:rsidP="006B6E21" w:rsidRDefault="006B6E21" w14:paraId="70BDA77D" w14:textId="46FFDD88">
      <w:pPr>
        <w:jc w:val="both"/>
        <w:rPr>
          <w:rFonts w:ascii="Arial" w:hAnsi="Arial" w:cs="Arial"/>
          <w:i/>
          <w:iCs/>
        </w:rPr>
      </w:pPr>
      <w:r w:rsidRPr="006B6E21">
        <w:rPr>
          <w:rFonts w:ascii="Arial" w:hAnsi="Arial" w:cs="Arial"/>
          <w:i/>
          <w:iCs/>
        </w:rPr>
        <w:t>Cuervo, L. M. (2019). Desequilibrios territoriales y políticas públicas en Colombia: Una mirada desde las regiones. Bogotá: Publicaciones CEPAL / Universidad Nacional de Colombia.</w:t>
      </w:r>
    </w:p>
    <w:p w:rsidRPr="006E7775" w:rsidR="006B6E21" w:rsidP="006B6E21" w:rsidRDefault="006B6E21" w14:paraId="478C5162" w14:textId="08E4924B">
      <w:pPr>
        <w:jc w:val="both"/>
        <w:rPr>
          <w:rFonts w:ascii="Arial" w:hAnsi="Arial" w:cs="Arial"/>
          <w:i/>
          <w:iCs/>
        </w:rPr>
      </w:pPr>
      <w:r w:rsidRPr="006B6E21">
        <w:rPr>
          <w:rFonts w:ascii="Arial" w:hAnsi="Arial" w:cs="Arial"/>
          <w:i/>
          <w:iCs/>
        </w:rPr>
        <w:t xml:space="preserve">Departamento Administrativo Nacional de Estadística - DANE. (2023). Metodología para la medición del déficit habitacional. Recuperado de </w:t>
      </w:r>
      <w:hyperlink w:tgtFrame="_blank" w:history="1" r:id="rId6">
        <w:r w:rsidRPr="006E7775">
          <w:rPr>
            <w:rStyle w:val="Hipervnculo"/>
            <w:rFonts w:ascii="Arial" w:hAnsi="Arial" w:cs="Arial"/>
            <w:i/>
            <w:iCs/>
            <w:color w:val="auto"/>
          </w:rPr>
          <w:t>https://www.dane.gov.co</w:t>
        </w:r>
      </w:hyperlink>
    </w:p>
    <w:p w:rsidRPr="006B6E21" w:rsidR="006B6E21" w:rsidP="006B6E21" w:rsidRDefault="006B6E21" w14:paraId="08301D2B" w14:textId="4BBAA8C5">
      <w:pPr>
        <w:jc w:val="both"/>
        <w:rPr>
          <w:rFonts w:ascii="Arial" w:hAnsi="Arial" w:cs="Arial"/>
          <w:i/>
          <w:iCs/>
        </w:rPr>
      </w:pPr>
      <w:r w:rsidRPr="006B6E21">
        <w:rPr>
          <w:rFonts w:ascii="Arial" w:hAnsi="Arial" w:cs="Arial"/>
          <w:i/>
          <w:iCs/>
        </w:rPr>
        <w:t>Ministerio de Vivienda, Ciudad y Territorio. (2015, 26 de mayo). Decreto 1077 de 2015. Por medio del cual se expide el Decreto Único Reglamentario del Sector Vivienda, Ciudad y Territorio. Diario Oficial No. 49.523.</w:t>
      </w:r>
    </w:p>
    <w:p w:rsidRPr="006B6E21" w:rsidR="006B6E21" w:rsidP="006B6E21" w:rsidRDefault="006B6E21" w14:paraId="13D5BB32" w14:textId="7FC61CA5">
      <w:pPr>
        <w:jc w:val="both"/>
        <w:rPr>
          <w:rFonts w:ascii="Arial" w:hAnsi="Arial" w:cs="Arial"/>
          <w:i/>
          <w:iCs/>
        </w:rPr>
      </w:pPr>
      <w:r w:rsidRPr="006B6E21">
        <w:rPr>
          <w:rFonts w:ascii="Arial" w:hAnsi="Arial" w:cs="Arial"/>
          <w:i/>
          <w:iCs/>
        </w:rPr>
        <w:t>Superintendencia del Subsidio Familiar. (2023). Informe anual sobre la ejecución de los Fondos de Vivienda de Interés Social (FOVIS).</w:t>
      </w:r>
    </w:p>
    <w:p w:rsidRPr="006B6E21" w:rsidR="006B6E21" w:rsidP="006B6E21" w:rsidRDefault="006B6E21" w14:paraId="1A7DA0F0" w14:textId="15EC70B3">
      <w:pPr>
        <w:jc w:val="both"/>
        <w:rPr>
          <w:rFonts w:ascii="Arial" w:hAnsi="Arial" w:cs="Arial"/>
          <w:i/>
          <w:iCs/>
        </w:rPr>
      </w:pPr>
      <w:r w:rsidRPr="006B6E21">
        <w:rPr>
          <w:rFonts w:ascii="Arial" w:hAnsi="Arial" w:cs="Arial"/>
          <w:i/>
          <w:iCs/>
        </w:rPr>
        <w:t>Superintendencia del Subsidio Familiar. (2024). Manual del Sistema de Información y Gestión de Recursos (SIGER).</w:t>
      </w:r>
    </w:p>
    <w:p w:rsidRPr="006B6E21" w:rsidR="006B6E21" w:rsidP="006B6E21" w:rsidRDefault="006B6E21" w14:paraId="2F097E20" w14:textId="093D77F9">
      <w:pPr>
        <w:jc w:val="both"/>
        <w:rPr>
          <w:rFonts w:ascii="Arial" w:hAnsi="Arial" w:cs="Arial"/>
          <w:i/>
          <w:iCs/>
        </w:rPr>
      </w:pPr>
      <w:r w:rsidRPr="006B6E21">
        <w:rPr>
          <w:rFonts w:ascii="Arial" w:hAnsi="Arial" w:cs="Arial"/>
          <w:i/>
          <w:iCs/>
        </w:rPr>
        <w:t>Torres, A. (2022). Vivienda de Interés Social y dinámica inmobiliaria en ciudades intermedias: El caso de Ibagué (2018-2022). (Tesis de Maestría). Universidad del Tolima, Ibagué.</w:t>
      </w:r>
    </w:p>
    <w:p w:rsidRPr="000738C6" w:rsidR="000738C6" w:rsidP="000738C6" w:rsidRDefault="000738C6" w14:paraId="02F822C6" w14:textId="77777777"/>
    <w:p w:rsidRPr="000738C6" w:rsidR="000738C6" w:rsidP="000738C6" w:rsidRDefault="000738C6" w14:paraId="5A3442D6" w14:textId="77777777"/>
    <w:p w:rsidRPr="00D07E62" w:rsidR="003B528B" w:rsidP="7F82D8FF" w:rsidRDefault="003B528B" w14:paraId="10743C16" w14:textId="60688AB3">
      <w:pPr>
        <w:pStyle w:val="Normal"/>
      </w:pPr>
    </w:p>
    <w:sectPr w:rsidRPr="00D07E62" w:rsidR="003B528B" w:rsidSect="00D07E62">
      <w:pgSz w:w="12240" w:h="15840" w:orient="portrait"/>
      <w:pgMar w:top="1417" w:right="1701" w:bottom="1417" w:left="1701" w:header="708" w:footer="708"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11FB2"/>
    <w:multiLevelType w:val="hybridMultilevel"/>
    <w:tmpl w:val="159C87A8"/>
    <w:lvl w:ilvl="0" w:tplc="B120A874">
      <w:start w:val="1"/>
      <w:numFmt w:val="bullet"/>
      <w:lvlText w:val=""/>
      <w:lvlJc w:val="left"/>
      <w:pPr>
        <w:ind w:left="720" w:hanging="360"/>
      </w:pPr>
      <w:rPr>
        <w:rFonts w:hint="default" w:ascii="Symbol" w:hAnsi="Symbol" w:eastAsiaTheme="minorHAnsi" w:cstheme="minorBid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52717873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E62"/>
    <w:rsid w:val="000738C6"/>
    <w:rsid w:val="0008752D"/>
    <w:rsid w:val="000C0FAA"/>
    <w:rsid w:val="00193C5F"/>
    <w:rsid w:val="001B2C3E"/>
    <w:rsid w:val="002E11A2"/>
    <w:rsid w:val="003B528B"/>
    <w:rsid w:val="006B6E21"/>
    <w:rsid w:val="006E7775"/>
    <w:rsid w:val="009C51FB"/>
    <w:rsid w:val="00A75390"/>
    <w:rsid w:val="00AA3FD3"/>
    <w:rsid w:val="00C2055E"/>
    <w:rsid w:val="00C327E8"/>
    <w:rsid w:val="00D07E62"/>
    <w:rsid w:val="00E40328"/>
    <w:rsid w:val="00F45DF3"/>
    <w:rsid w:val="00FF1B29"/>
    <w:rsid w:val="7F82D8FF"/>
    <w:rsid w:val="7F8456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DE0E5"/>
  <w15:chartTrackingRefBased/>
  <w15:docId w15:val="{2A897F0E-037E-4A7F-AF9B-EBE2ACE69F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D07E62"/>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Ttulo2">
    <w:name w:val="heading 2"/>
    <w:basedOn w:val="Normal"/>
    <w:next w:val="Normal"/>
    <w:link w:val="Ttulo2Car"/>
    <w:uiPriority w:val="9"/>
    <w:unhideWhenUsed/>
    <w:qFormat/>
    <w:rsid w:val="00D07E62"/>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unhideWhenUsed/>
    <w:qFormat/>
    <w:rsid w:val="00D07E62"/>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D07E62"/>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D07E62"/>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D07E6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07E6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07E6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07E62"/>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D07E62"/>
    <w:rPr>
      <w:rFonts w:asciiTheme="majorHAnsi" w:hAnsiTheme="majorHAnsi" w:eastAsiaTheme="majorEastAsia" w:cstheme="majorBidi"/>
      <w:color w:val="2F5496" w:themeColor="accent1" w:themeShade="BF"/>
      <w:sz w:val="40"/>
      <w:szCs w:val="40"/>
    </w:rPr>
  </w:style>
  <w:style w:type="character" w:styleId="Ttulo2Car" w:customStyle="1">
    <w:name w:val="Título 2 Car"/>
    <w:basedOn w:val="Fuentedeprrafopredeter"/>
    <w:link w:val="Ttulo2"/>
    <w:uiPriority w:val="9"/>
    <w:rsid w:val="00D07E62"/>
    <w:rPr>
      <w:rFonts w:asciiTheme="majorHAnsi" w:hAnsiTheme="majorHAnsi" w:eastAsiaTheme="majorEastAsia" w:cstheme="majorBidi"/>
      <w:color w:val="2F5496" w:themeColor="accent1" w:themeShade="BF"/>
      <w:sz w:val="32"/>
      <w:szCs w:val="32"/>
    </w:rPr>
  </w:style>
  <w:style w:type="character" w:styleId="Ttulo3Car" w:customStyle="1">
    <w:name w:val="Título 3 Car"/>
    <w:basedOn w:val="Fuentedeprrafopredeter"/>
    <w:link w:val="Ttulo3"/>
    <w:uiPriority w:val="9"/>
    <w:rsid w:val="00D07E62"/>
    <w:rPr>
      <w:rFonts w:eastAsiaTheme="majorEastAsia" w:cstheme="majorBidi"/>
      <w:color w:val="2F5496" w:themeColor="accent1" w:themeShade="BF"/>
      <w:sz w:val="28"/>
      <w:szCs w:val="28"/>
    </w:rPr>
  </w:style>
  <w:style w:type="character" w:styleId="Ttulo4Car" w:customStyle="1">
    <w:name w:val="Título 4 Car"/>
    <w:basedOn w:val="Fuentedeprrafopredeter"/>
    <w:link w:val="Ttulo4"/>
    <w:uiPriority w:val="9"/>
    <w:semiHidden/>
    <w:rsid w:val="00D07E62"/>
    <w:rPr>
      <w:rFonts w:eastAsiaTheme="majorEastAsia" w:cstheme="majorBidi"/>
      <w:i/>
      <w:iCs/>
      <w:color w:val="2F5496" w:themeColor="accent1" w:themeShade="BF"/>
    </w:rPr>
  </w:style>
  <w:style w:type="character" w:styleId="Ttulo5Car" w:customStyle="1">
    <w:name w:val="Título 5 Car"/>
    <w:basedOn w:val="Fuentedeprrafopredeter"/>
    <w:link w:val="Ttulo5"/>
    <w:uiPriority w:val="9"/>
    <w:semiHidden/>
    <w:rsid w:val="00D07E62"/>
    <w:rPr>
      <w:rFonts w:eastAsiaTheme="majorEastAsia" w:cstheme="majorBidi"/>
      <w:color w:val="2F5496" w:themeColor="accent1" w:themeShade="BF"/>
    </w:rPr>
  </w:style>
  <w:style w:type="character" w:styleId="Ttulo6Car" w:customStyle="1">
    <w:name w:val="Título 6 Car"/>
    <w:basedOn w:val="Fuentedeprrafopredeter"/>
    <w:link w:val="Ttulo6"/>
    <w:uiPriority w:val="9"/>
    <w:semiHidden/>
    <w:rsid w:val="00D07E62"/>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D07E62"/>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D07E62"/>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D07E62"/>
    <w:rPr>
      <w:rFonts w:eastAsiaTheme="majorEastAsia" w:cstheme="majorBidi"/>
      <w:color w:val="272727" w:themeColor="text1" w:themeTint="D8"/>
    </w:rPr>
  </w:style>
  <w:style w:type="paragraph" w:styleId="Ttulo">
    <w:name w:val="Title"/>
    <w:basedOn w:val="Normal"/>
    <w:next w:val="Normal"/>
    <w:link w:val="TtuloCar"/>
    <w:uiPriority w:val="10"/>
    <w:qFormat/>
    <w:rsid w:val="00D07E62"/>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D07E62"/>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D07E62"/>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D07E6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07E62"/>
    <w:pPr>
      <w:spacing w:before="160"/>
      <w:jc w:val="center"/>
    </w:pPr>
    <w:rPr>
      <w:i/>
      <w:iCs/>
      <w:color w:val="404040" w:themeColor="text1" w:themeTint="BF"/>
    </w:rPr>
  </w:style>
  <w:style w:type="character" w:styleId="CitaCar" w:customStyle="1">
    <w:name w:val="Cita Car"/>
    <w:basedOn w:val="Fuentedeprrafopredeter"/>
    <w:link w:val="Cita"/>
    <w:uiPriority w:val="29"/>
    <w:rsid w:val="00D07E62"/>
    <w:rPr>
      <w:i/>
      <w:iCs/>
      <w:color w:val="404040" w:themeColor="text1" w:themeTint="BF"/>
    </w:rPr>
  </w:style>
  <w:style w:type="paragraph" w:styleId="Prrafodelista">
    <w:name w:val="List Paragraph"/>
    <w:basedOn w:val="Normal"/>
    <w:uiPriority w:val="34"/>
    <w:qFormat/>
    <w:rsid w:val="00D07E62"/>
    <w:pPr>
      <w:ind w:left="720"/>
      <w:contextualSpacing/>
    </w:pPr>
  </w:style>
  <w:style w:type="character" w:styleId="nfasisintenso">
    <w:name w:val="Intense Emphasis"/>
    <w:basedOn w:val="Fuentedeprrafopredeter"/>
    <w:uiPriority w:val="21"/>
    <w:qFormat/>
    <w:rsid w:val="00D07E62"/>
    <w:rPr>
      <w:i/>
      <w:iCs/>
      <w:color w:val="2F5496" w:themeColor="accent1" w:themeShade="BF"/>
    </w:rPr>
  </w:style>
  <w:style w:type="paragraph" w:styleId="Citadestacada">
    <w:name w:val="Intense Quote"/>
    <w:basedOn w:val="Normal"/>
    <w:next w:val="Normal"/>
    <w:link w:val="CitadestacadaCar"/>
    <w:uiPriority w:val="30"/>
    <w:qFormat/>
    <w:rsid w:val="00D07E62"/>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CitadestacadaCar" w:customStyle="1">
    <w:name w:val="Cita destacada Car"/>
    <w:basedOn w:val="Fuentedeprrafopredeter"/>
    <w:link w:val="Citadestacada"/>
    <w:uiPriority w:val="30"/>
    <w:rsid w:val="00D07E62"/>
    <w:rPr>
      <w:i/>
      <w:iCs/>
      <w:color w:val="2F5496" w:themeColor="accent1" w:themeShade="BF"/>
    </w:rPr>
  </w:style>
  <w:style w:type="character" w:styleId="Referenciaintensa">
    <w:name w:val="Intense Reference"/>
    <w:basedOn w:val="Fuentedeprrafopredeter"/>
    <w:uiPriority w:val="32"/>
    <w:qFormat/>
    <w:rsid w:val="00D07E62"/>
    <w:rPr>
      <w:b/>
      <w:bCs/>
      <w:smallCaps/>
      <w:color w:val="2F5496" w:themeColor="accent1" w:themeShade="BF"/>
      <w:spacing w:val="5"/>
    </w:rPr>
  </w:style>
  <w:style w:type="character" w:styleId="Hipervnculo">
    <w:name w:val="Hyperlink"/>
    <w:basedOn w:val="Fuentedeprrafopredeter"/>
    <w:uiPriority w:val="99"/>
    <w:unhideWhenUsed/>
    <w:rsid w:val="006B6E21"/>
    <w:rPr>
      <w:color w:val="0563C1" w:themeColor="hyperlink"/>
      <w:u w:val="single"/>
    </w:rPr>
  </w:style>
  <w:style w:type="character" w:styleId="Mencinsinresolver">
    <w:name w:val="Unresolved Mention"/>
    <w:basedOn w:val="Fuentedeprrafopredeter"/>
    <w:uiPriority w:val="99"/>
    <w:semiHidden/>
    <w:unhideWhenUsed/>
    <w:rsid w:val="006B6E21"/>
    <w:rPr>
      <w:color w:val="605E5C"/>
      <w:shd w:val="clear" w:color="auto" w:fill="E1DFDD"/>
    </w:rPr>
  </w:style>
  <w:style w:type="paragraph" w:styleId="TtuloTDC">
    <w:name w:val="TOC Heading"/>
    <w:basedOn w:val="Ttulo1"/>
    <w:next w:val="Normal"/>
    <w:uiPriority w:val="39"/>
    <w:unhideWhenUsed/>
    <w:qFormat/>
    <w:rsid w:val="006E7775"/>
    <w:pPr>
      <w:spacing w:before="240" w:after="0"/>
      <w:outlineLvl w:val="9"/>
    </w:pPr>
    <w:rPr>
      <w:kern w:val="0"/>
      <w:sz w:val="32"/>
      <w:szCs w:val="32"/>
      <w:lang w:eastAsia="es-CO"/>
      <w14:ligatures w14:val="none"/>
    </w:rPr>
  </w:style>
  <w:style w:type="paragraph" w:styleId="TDC1">
    <w:name w:val="toc 1"/>
    <w:basedOn w:val="Normal"/>
    <w:next w:val="Normal"/>
    <w:autoRedefine/>
    <w:uiPriority w:val="39"/>
    <w:unhideWhenUsed/>
    <w:rsid w:val="006E7775"/>
    <w:pPr>
      <w:spacing w:after="100"/>
    </w:pPr>
  </w:style>
  <w:style w:type="paragraph" w:styleId="TDC2">
    <w:name w:val="toc 2"/>
    <w:basedOn w:val="Normal"/>
    <w:next w:val="Normal"/>
    <w:autoRedefine/>
    <w:uiPriority w:val="39"/>
    <w:unhideWhenUsed/>
    <w:rsid w:val="006E7775"/>
    <w:pPr>
      <w:spacing w:after="100"/>
      <w:ind w:left="220"/>
    </w:pPr>
  </w:style>
  <w:style w:type="paragraph" w:styleId="TDC3">
    <w:name w:val="toc 3"/>
    <w:basedOn w:val="Normal"/>
    <w:next w:val="Normal"/>
    <w:autoRedefine/>
    <w:uiPriority w:val="39"/>
    <w:unhideWhenUsed/>
    <w:rsid w:val="006E777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tyles" Target="styles.xml" Id="rId3" /><Relationship Type="http://schemas.openxmlformats.org/officeDocument/2006/relationships/fontTable" Target="fontTable.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hyperlink" Target="https://www.dane.gov.co" TargetMode="External" Id="rId6" /><Relationship Type="http://schemas.openxmlformats.org/officeDocument/2006/relationships/customXml" Target="../customXml/item4.xml" Id="rId11" /><Relationship Type="http://schemas.openxmlformats.org/officeDocument/2006/relationships/webSettings" Target="webSettings.xml" Id="rId5" /><Relationship Type="http://schemas.openxmlformats.org/officeDocument/2006/relationships/customXml" Target="../customXml/item3.xml" Id="rId10" /><Relationship Type="http://schemas.openxmlformats.org/officeDocument/2006/relationships/settings" Target="settings.xml" Id="rId4" /><Relationship Type="http://schemas.openxmlformats.org/officeDocument/2006/relationships/customXml" Target="../customXml/item2.xml" Id="rId9"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816F5376A896F4EA0E5FBE48F22CD69" ma:contentTypeVersion="16" ma:contentTypeDescription="Crear nuevo documento." ma:contentTypeScope="" ma:versionID="6e3ea9ec1cf4fdbbb62dd7ba2119d973">
  <xsd:schema xmlns:xsd="http://www.w3.org/2001/XMLSchema" xmlns:xs="http://www.w3.org/2001/XMLSchema" xmlns:p="http://schemas.microsoft.com/office/2006/metadata/properties" xmlns:ns2="a22fc180-de48-4a46-9ce7-777d7cabf0cd" xmlns:ns3="5c4714ae-99d1-4ef4-924e-0052ad2f9f10" targetNamespace="http://schemas.microsoft.com/office/2006/metadata/properties" ma:root="true" ma:fieldsID="dcbdd0ab2bdb5065dd49904d794826b7" ns2:_="" ns3:_="">
    <xsd:import namespace="a22fc180-de48-4a46-9ce7-777d7cabf0cd"/>
    <xsd:import namespace="5c4714ae-99d1-4ef4-924e-0052ad2f9f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BillingMetadata" minOccurs="0"/>
                <xsd:element ref="ns2:JP" minOccurs="0"/>
                <xsd:element ref="ns2:Document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fc180-de48-4a46-9ce7-777d7cabf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JP" ma:index="22" nillable="true" ma:displayName="JP" ma:format="DateOnly" ma:internalName="JP">
      <xsd:simpleType>
        <xsd:restriction base="dms:DateTime"/>
      </xsd:simpleType>
    </xsd:element>
    <xsd:element name="Documentos" ma:index="23" nillable="true" ma:displayName="Documentos " ma:description="Jenny Katherine Lugo Pérez" ma:format="Dropdown" ma:internalName="Documento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714ae-99d1-4ef4-924e-0052ad2f9f1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09f703f-2ed5-4d3e-a670-202f96bd9eaa}" ma:internalName="TaxCatchAll" ma:showField="CatchAllData" ma:web="5c4714ae-99d1-4ef4-924e-0052ad2f9f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P xmlns="a22fc180-de48-4a46-9ce7-777d7cabf0cd" xsi:nil="true"/>
    <Documentos xmlns="a22fc180-de48-4a46-9ce7-777d7cabf0cd" xsi:nil="true"/>
    <lcf76f155ced4ddcb4097134ff3c332f xmlns="a22fc180-de48-4a46-9ce7-777d7cabf0cd">
      <Terms xmlns="http://schemas.microsoft.com/office/infopath/2007/PartnerControls"/>
    </lcf76f155ced4ddcb4097134ff3c332f>
    <TaxCatchAll xmlns="5c4714ae-99d1-4ef4-924e-0052ad2f9f10" xsi:nil="true"/>
  </documentManagement>
</p:properties>
</file>

<file path=customXml/itemProps1.xml><?xml version="1.0" encoding="utf-8"?>
<ds:datastoreItem xmlns:ds="http://schemas.openxmlformats.org/officeDocument/2006/customXml" ds:itemID="{9F92344E-402D-4C1C-A1E9-7EDAB44E59D7}">
  <ds:schemaRefs>
    <ds:schemaRef ds:uri="http://schemas.openxmlformats.org/officeDocument/2006/bibliography"/>
  </ds:schemaRefs>
</ds:datastoreItem>
</file>

<file path=customXml/itemProps2.xml><?xml version="1.0" encoding="utf-8"?>
<ds:datastoreItem xmlns:ds="http://schemas.openxmlformats.org/officeDocument/2006/customXml" ds:itemID="{53C4F5DC-AC30-4F50-837E-4DD73801820D}"/>
</file>

<file path=customXml/itemProps3.xml><?xml version="1.0" encoding="utf-8"?>
<ds:datastoreItem xmlns:ds="http://schemas.openxmlformats.org/officeDocument/2006/customXml" ds:itemID="{BEE2A695-0E6A-447E-81E8-3547870DE43C}"/>
</file>

<file path=customXml/itemProps4.xml><?xml version="1.0" encoding="utf-8"?>
<ds:datastoreItem xmlns:ds="http://schemas.openxmlformats.org/officeDocument/2006/customXml" ds:itemID="{324FF5BF-FCF4-4F27-8461-B0A17274778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SEBASTIAN RINCON OSORIO</dc:creator>
  <cp:keywords/>
  <dc:description/>
  <cp:lastModifiedBy>Juan Sebastian Rincon Osorio</cp:lastModifiedBy>
  <cp:revision>3</cp:revision>
  <dcterms:created xsi:type="dcterms:W3CDTF">2026-04-22T17:16:00Z</dcterms:created>
  <dcterms:modified xsi:type="dcterms:W3CDTF">2026-04-22T22:25:22Z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0x010100F816F5376A896F4EA0E5FBE48F22CD69</vt:lpwstr>
  </property>
  <property fmtid="{D5CDD505-2E9C-101B-9397-08002B2CF9AE}" pid="3" name="MediaServiceImageTags">
    <vt:lpwstr/>
  </property>
</Properties>
</file>